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5DF" w:rsidRDefault="000E12EB">
      <w:pPr>
        <w:spacing w:after="200"/>
        <w:ind w:left="-5" w:right="19"/>
        <w:jc w:val="left"/>
        <w:rPr>
          <w:rFonts w:asciiTheme="majorHAnsi" w:hAnsiTheme="majorHAnsi" w:cs="Arial"/>
          <w:b/>
          <w:bCs/>
          <w:color w:val="E36C0A" w:themeColor="accent6" w:themeShade="BF"/>
          <w:sz w:val="32"/>
          <w:szCs w:val="32"/>
          <w:lang w:val="en-GB" w:eastAsia="zh-CN"/>
        </w:rPr>
      </w:pPr>
      <w:r>
        <w:rPr>
          <w:rFonts w:asciiTheme="majorHAnsi" w:hAnsiTheme="majorHAnsi" w:cs="Arial"/>
          <w:b/>
          <w:bCs/>
          <w:color w:val="E36C0A" w:themeColor="accent6" w:themeShade="BF"/>
          <w:sz w:val="32"/>
          <w:szCs w:val="32"/>
          <w:lang w:val="en-GB" w:eastAsia="zh-CN"/>
        </w:rPr>
        <w:t xml:space="preserve">CALL FOR SUBMISSIONS: </w:t>
      </w:r>
    </w:p>
    <w:p w:rsidR="001675DF" w:rsidRDefault="000E12EB">
      <w:pPr>
        <w:spacing w:after="200"/>
        <w:ind w:left="-5" w:right="19"/>
        <w:jc w:val="left"/>
        <w:rPr>
          <w:rFonts w:asciiTheme="majorHAnsi" w:hAnsiTheme="majorHAnsi" w:cs="Arial"/>
          <w:b/>
          <w:bCs/>
          <w:color w:val="E36C0A" w:themeColor="accent6" w:themeShade="BF"/>
          <w:sz w:val="32"/>
          <w:szCs w:val="32"/>
          <w:lang w:val="en-GB" w:eastAsia="zh-CN"/>
        </w:rPr>
      </w:pPr>
      <w:r>
        <w:rPr>
          <w:rFonts w:asciiTheme="majorHAnsi" w:hAnsiTheme="majorHAnsi" w:cs="Arial"/>
          <w:b/>
          <w:bCs/>
          <w:color w:val="E36C0A" w:themeColor="accent6" w:themeShade="BF"/>
          <w:sz w:val="32"/>
          <w:szCs w:val="32"/>
          <w:lang w:val="en-GB" w:eastAsia="zh-CN"/>
        </w:rPr>
        <w:t>Community engagement for</w:t>
      </w:r>
      <w:r>
        <w:rPr>
          <w:rFonts w:asciiTheme="majorHAnsi" w:hAnsiTheme="majorHAnsi" w:cs="Arial"/>
          <w:b/>
          <w:bCs/>
          <w:color w:val="E36C0A"/>
          <w:sz w:val="32"/>
          <w:szCs w:val="32"/>
          <w:lang w:val="en-GB" w:eastAsia="zh-CN"/>
        </w:rPr>
        <w:t xml:space="preserve"> inclusive rural transformation and gender equality</w:t>
      </w:r>
    </w:p>
    <w:p w:rsidR="001675DF" w:rsidRDefault="000E12EB">
      <w:pPr>
        <w:spacing w:after="200"/>
        <w:ind w:left="-5" w:right="19"/>
        <w:rPr>
          <w:rFonts w:asciiTheme="majorHAnsi" w:hAnsiTheme="majorHAnsi"/>
          <w:sz w:val="22"/>
        </w:rPr>
      </w:pPr>
      <w:r>
        <w:rPr>
          <w:rFonts w:asciiTheme="majorHAnsi" w:hAnsiTheme="majorHAnsi" w:cstheme="minorHAnsi"/>
          <w:noProof/>
          <w:sz w:val="22"/>
        </w:rPr>
        <w:drawing>
          <wp:anchor distT="0" distB="0" distL="114300" distR="114300" simplePos="0" relativeHeight="251659264" behindDoc="0" locked="0" layoutInCell="1" allowOverlap="1">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tretch>
                      <a:fillRect/>
                    </a:stretch>
                  </pic:blipFill>
                  <pic:spPr>
                    <a:xfrm>
                      <a:off x="0" y="0"/>
                      <a:ext cx="1958340" cy="1310640"/>
                    </a:xfrm>
                    <a:prstGeom prst="rect">
                      <a:avLst/>
                    </a:prstGeom>
                  </pic:spPr>
                </pic:pic>
              </a:graphicData>
            </a:graphic>
          </wp:anchor>
        </w:drawing>
      </w:r>
      <w:bookmarkStart w:id="0" w:name="_Hlk179267136"/>
      <w:r>
        <w:rPr>
          <w:rFonts w:asciiTheme="majorHAnsi" w:hAnsiTheme="majorHAnsi" w:cstheme="minorHAnsi"/>
          <w:sz w:val="22"/>
        </w:rPr>
        <w:t xml:space="preserve">The objective of this call for submissions is to collect good practices, experiences, and lessons learnt on the use of community engagement for inclusive rural transformation and gender equality. The initiative, organized by the </w:t>
      </w:r>
      <w:hyperlink r:id="rId9" w:history="1">
        <w:r>
          <w:rPr>
            <w:rStyle w:val="Hyperlink"/>
            <w:rFonts w:asciiTheme="majorHAnsi" w:hAnsiTheme="majorHAnsi" w:cstheme="minorHAnsi"/>
            <w:sz w:val="22"/>
          </w:rPr>
          <w:t>Rural Transformation and Gender Equality Division (ESP)</w:t>
        </w:r>
      </w:hyperlink>
      <w:r>
        <w:rPr>
          <w:rFonts w:asciiTheme="majorHAnsi" w:hAnsiTheme="majorHAnsi" w:cstheme="minorHAnsi"/>
          <w:sz w:val="22"/>
        </w:rPr>
        <w:t>, seeks to gather insights from a diverse range of contributors, both within FAO and from external stakeholders. Its goal is to share knowledge,</w:t>
      </w:r>
      <w:r>
        <w:rPr>
          <w:rFonts w:asciiTheme="majorHAnsi" w:hAnsiTheme="majorHAnsi" w:cstheme="minorHAnsi"/>
          <w:sz w:val="22"/>
        </w:rPr>
        <w:t xml:space="preserve"> foster learning, and guide the scaling up of community engagement and community-led collective action to leave no one behind. The call  builds on FAO's past efforts in this area, such as the </w:t>
      </w:r>
      <w:hyperlink r:id="rId10" w:history="1">
        <w:r>
          <w:rPr>
            <w:rStyle w:val="Hyperlink"/>
            <w:rFonts w:asciiTheme="majorHAnsi" w:hAnsiTheme="majorHAnsi" w:cstheme="minorHAnsi"/>
            <w:sz w:val="22"/>
          </w:rPr>
          <w:t>Community Engagement Days</w:t>
        </w:r>
      </w:hyperlink>
      <w:r>
        <w:rPr>
          <w:rFonts w:asciiTheme="majorHAnsi" w:hAnsiTheme="majorHAnsi" w:cstheme="minorHAnsi"/>
          <w:sz w:val="22"/>
        </w:rPr>
        <w:t xml:space="preserve"> series of webinars</w:t>
      </w:r>
      <w:bookmarkEnd w:id="0"/>
      <w:r>
        <w:rPr>
          <w:rFonts w:asciiTheme="majorHAnsi" w:hAnsiTheme="majorHAnsi" w:cstheme="minorHAnsi"/>
          <w:sz w:val="22"/>
        </w:rPr>
        <w:t>.</w:t>
      </w:r>
      <w:r>
        <w:rPr>
          <w:rStyle w:val="FootnoteReference"/>
          <w:rFonts w:asciiTheme="majorHAnsi" w:hAnsiTheme="majorHAnsi" w:cstheme="minorHAnsi"/>
          <w:sz w:val="22"/>
        </w:rPr>
        <w:footnoteReference w:id="1"/>
      </w:r>
      <w:r>
        <w:rPr>
          <w:rFonts w:asciiTheme="majorHAnsi" w:hAnsiTheme="majorHAnsi" w:cstheme="minorHAnsi"/>
          <w:sz w:val="22"/>
        </w:rPr>
        <w:t xml:space="preserve">   </w:t>
      </w:r>
    </w:p>
    <w:p w:rsidR="001675DF" w:rsidRDefault="000E12EB">
      <w:pPr>
        <w:spacing w:after="0"/>
        <w:rPr>
          <w:rFonts w:asciiTheme="majorHAnsi" w:eastAsia="Calibri" w:hAnsiTheme="majorHAnsi" w:cs="Calibri"/>
          <w:b/>
          <w:bCs/>
          <w:color w:val="E36C0A" w:themeColor="accent6" w:themeShade="BF"/>
          <w:sz w:val="22"/>
        </w:rPr>
      </w:pPr>
      <w:r>
        <w:rPr>
          <w:rFonts w:asciiTheme="majorHAnsi" w:eastAsia="Calibri" w:hAnsiTheme="majorHAnsi" w:cs="Calibri"/>
          <w:b/>
          <w:bCs/>
          <w:color w:val="E36C0A" w:themeColor="accent6" w:themeShade="BF"/>
          <w:sz w:val="22"/>
        </w:rPr>
        <w:t>The call for submissions is open until 27 November 2024.</w:t>
      </w:r>
    </w:p>
    <w:p w:rsidR="001675DF" w:rsidRDefault="001675DF">
      <w:pPr>
        <w:tabs>
          <w:tab w:val="left" w:pos="3525"/>
        </w:tabs>
        <w:rPr>
          <w:rStyle w:val="Strong"/>
          <w:rFonts w:asciiTheme="majorHAnsi" w:eastAsiaTheme="minorEastAsia" w:hAnsiTheme="majorHAnsi" w:cstheme="minorBidi"/>
          <w:b w:val="0"/>
          <w:bCs w:val="0"/>
          <w:color w:val="000000" w:themeColor="text1"/>
          <w:sz w:val="22"/>
        </w:rPr>
      </w:pPr>
    </w:p>
    <w:p w:rsidR="001675DF" w:rsidRDefault="000E12EB">
      <w:pPr>
        <w:pStyle w:val="NormalWeb"/>
        <w:shd w:val="clear" w:color="auto" w:fill="FFFFFF"/>
        <w:ind w:left="0"/>
        <w:rPr>
          <w:rStyle w:val="Strong"/>
          <w:rFonts w:asciiTheme="majorHAnsi" w:hAnsiTheme="majorHAnsi" w:cs="Open Sans"/>
          <w:color w:val="003B43"/>
          <w:sz w:val="22"/>
          <w:szCs w:val="22"/>
        </w:rPr>
      </w:pPr>
      <w:r>
        <w:rPr>
          <w:rStyle w:val="Strong"/>
          <w:rFonts w:asciiTheme="majorHAnsi" w:hAnsiTheme="majorHAnsi" w:cs="Open Sans"/>
          <w:color w:val="003B43"/>
          <w:sz w:val="22"/>
          <w:szCs w:val="22"/>
        </w:rPr>
        <w:t>How to take part in this call for submissions:</w:t>
      </w:r>
    </w:p>
    <w:p w:rsidR="001675DF" w:rsidRDefault="000E12EB">
      <w:pPr>
        <w:rPr>
          <w:rFonts w:asciiTheme="majorHAnsi" w:hAnsiTheme="majorHAnsi" w:cs="Open Sans"/>
          <w:sz w:val="22"/>
        </w:rPr>
      </w:pPr>
      <w:r>
        <w:rPr>
          <w:rFonts w:asciiTheme="majorHAnsi" w:hAnsiTheme="majorHAnsi" w:cs="Open Sans"/>
          <w:sz w:val="22"/>
        </w:rPr>
        <w:t>To take part in this Call for submissions, please </w:t>
      </w:r>
      <w:hyperlink r:id="rId11" w:history="1">
        <w:r>
          <w:rPr>
            <w:rStyle w:val="Hyperlink"/>
            <w:rFonts w:asciiTheme="majorHAnsi" w:hAnsiTheme="majorHAnsi" w:cs="Open Sans"/>
            <w:b/>
            <w:bCs/>
            <w:sz w:val="22"/>
          </w:rPr>
          <w:t>register</w:t>
        </w:r>
        <w:r>
          <w:rPr>
            <w:rStyle w:val="Hyperlink"/>
            <w:rFonts w:asciiTheme="majorHAnsi" w:hAnsiTheme="majorHAnsi" w:cs="Open Sans"/>
            <w:sz w:val="22"/>
          </w:rPr>
          <w:t> </w:t>
        </w:r>
      </w:hyperlink>
      <w:r>
        <w:rPr>
          <w:rFonts w:asciiTheme="majorHAnsi" w:hAnsiTheme="majorHAnsi" w:cs="Open Sans"/>
          <w:sz w:val="22"/>
        </w:rPr>
        <w:t xml:space="preserve">to the FSN Forum, if you are not yet a member, or “sign in” to your account. Please review the </w:t>
      </w:r>
      <w:r>
        <w:rPr>
          <w:rFonts w:asciiTheme="majorHAnsi" w:hAnsiTheme="majorHAnsi" w:cs="Open Sans"/>
          <w:b/>
          <w:bCs/>
          <w:sz w:val="22"/>
        </w:rPr>
        <w:t>topic note</w:t>
      </w:r>
      <w:r>
        <w:rPr>
          <w:rFonts w:asciiTheme="majorHAnsi" w:hAnsiTheme="majorHAnsi" w:cs="Open Sans"/>
          <w:sz w:val="22"/>
        </w:rPr>
        <w:t xml:space="preserve"> to understand the criteria we are considering for this call. If you wish to learn more about c</w:t>
      </w:r>
      <w:r>
        <w:rPr>
          <w:rFonts w:asciiTheme="majorHAnsi" w:hAnsiTheme="majorHAnsi" w:cs="Open Sans"/>
          <w:sz w:val="22"/>
        </w:rPr>
        <w:t xml:space="preserve">ommunity engagement, you may refer to the </w:t>
      </w:r>
      <w:hyperlink r:id="rId12" w:history="1">
        <w:r>
          <w:rPr>
            <w:rStyle w:val="Hyperlink"/>
            <w:rFonts w:asciiTheme="majorHAnsi" w:hAnsiTheme="majorHAnsi" w:cs="Open Sans"/>
            <w:b/>
            <w:bCs/>
            <w:sz w:val="22"/>
          </w:rPr>
          <w:t>background document</w:t>
        </w:r>
      </w:hyperlink>
      <w:r>
        <w:rPr>
          <w:rFonts w:asciiTheme="majorHAnsi" w:hAnsiTheme="majorHAnsi" w:cs="Open Sans"/>
          <w:sz w:val="22"/>
        </w:rPr>
        <w:t xml:space="preserve">.  Once you have completed this submission template, upload it in the box </w:t>
      </w:r>
      <w:r>
        <w:rPr>
          <w:rFonts w:asciiTheme="majorHAnsi" w:hAnsiTheme="majorHAnsi" w:cs="Open Sans"/>
          <w:sz w:val="22"/>
        </w:rPr>
        <w:t xml:space="preserve">“Post your contribution” on the </w:t>
      </w:r>
      <w:r>
        <w:rPr>
          <w:rFonts w:asciiTheme="majorHAnsi" w:hAnsiTheme="majorHAnsi" w:cs="Open Sans"/>
          <w:b/>
          <w:bCs/>
          <w:sz w:val="22"/>
        </w:rPr>
        <w:t xml:space="preserve">call </w:t>
      </w:r>
      <w:hyperlink r:id="rId13" w:history="1">
        <w:r>
          <w:rPr>
            <w:rStyle w:val="Hyperlink"/>
            <w:rFonts w:asciiTheme="majorHAnsi" w:hAnsiTheme="majorHAnsi" w:cs="Open Sans"/>
            <w:b/>
            <w:bCs/>
            <w:sz w:val="22"/>
          </w:rPr>
          <w:t>webpage</w:t>
        </w:r>
      </w:hyperlink>
      <w:r>
        <w:rPr>
          <w:rFonts w:asciiTheme="majorHAnsi" w:hAnsiTheme="majorHAnsi" w:cs="Open Sans"/>
          <w:sz w:val="22"/>
        </w:rPr>
        <w:t xml:space="preserve">, </w:t>
      </w:r>
      <w:r>
        <w:rPr>
          <w:rStyle w:val="Strong"/>
          <w:rFonts w:asciiTheme="majorHAnsi" w:eastAsiaTheme="minorEastAsia" w:hAnsiTheme="majorHAnsi" w:cstheme="minorBidi"/>
          <w:b w:val="0"/>
          <w:bCs w:val="0"/>
          <w:color w:val="000000" w:themeColor="text1"/>
          <w:sz w:val="22"/>
        </w:rPr>
        <w:t>or, alternatively, send it to</w:t>
      </w:r>
      <w:r>
        <w:rPr>
          <w:rStyle w:val="Strong"/>
          <w:rFonts w:asciiTheme="majorHAnsi" w:hAnsiTheme="majorHAnsi" w:cs="Open Sans"/>
          <w:b w:val="0"/>
          <w:bCs w:val="0"/>
          <w:sz w:val="22"/>
        </w:rPr>
        <w:t> </w:t>
      </w:r>
      <w:r>
        <w:rPr>
          <w:rFonts w:asciiTheme="majorHAnsi" w:hAnsiTheme="majorHAnsi" w:cs="Open Sans"/>
          <w:sz w:val="22"/>
        </w:rPr>
        <w:t xml:space="preserve"> </w:t>
      </w:r>
      <w:hyperlink r:id="rId14" w:history="1">
        <w:r>
          <w:rPr>
            <w:rStyle w:val="FollowedHyperlink"/>
            <w:rFonts w:asciiTheme="majorHAnsi" w:hAnsiTheme="majorHAnsi" w:cs="Open Sans"/>
            <w:color w:val="auto"/>
            <w:sz w:val="22"/>
          </w:rPr>
          <w:t>fsn-moderator@fao.org</w:t>
        </w:r>
      </w:hyperlink>
      <w:r>
        <w:rPr>
          <w:rFonts w:asciiTheme="majorHAnsi" w:hAnsiTheme="majorHAnsi" w:cs="Open Sans"/>
          <w:sz w:val="22"/>
        </w:rPr>
        <w:t xml:space="preserve">. </w:t>
      </w:r>
    </w:p>
    <w:p w:rsidR="001675DF" w:rsidRDefault="000E12EB">
      <w:pPr>
        <w:rPr>
          <w:rFonts w:asciiTheme="majorHAnsi" w:eastAsia="Calibri" w:hAnsiTheme="majorHAnsi" w:cs="Open Sans"/>
          <w:b/>
          <w:bCs/>
          <w:sz w:val="22"/>
        </w:rPr>
      </w:pPr>
      <w:r>
        <w:rPr>
          <w:rFonts w:asciiTheme="majorHAnsi" w:hAnsiTheme="majorHAnsi" w:cs="Open Sans"/>
          <w:sz w:val="22"/>
        </w:rPr>
        <w:t xml:space="preserve">Please keep the length of submissions limited to </w:t>
      </w:r>
      <w:r>
        <w:rPr>
          <w:rFonts w:asciiTheme="majorHAnsi" w:hAnsiTheme="majorHAnsi" w:cs="Open Sans"/>
          <w:b/>
          <w:bCs/>
          <w:sz w:val="22"/>
        </w:rPr>
        <w:t>1,500 words</w:t>
      </w:r>
      <w:r>
        <w:rPr>
          <w:rFonts w:asciiTheme="majorHAnsi" w:hAnsiTheme="majorHAnsi" w:cs="Open Sans"/>
          <w:sz w:val="22"/>
        </w:rPr>
        <w:t xml:space="preserve"> and feel also free to attach relevant supporting materials</w:t>
      </w:r>
      <w:r>
        <w:rPr>
          <w:rStyle w:val="Strong"/>
          <w:rFonts w:asciiTheme="majorHAnsi" w:eastAsia="Calibri" w:hAnsiTheme="majorHAnsi" w:cs="Open Sans"/>
          <w:sz w:val="22"/>
        </w:rPr>
        <w:t xml:space="preserve">. </w:t>
      </w:r>
    </w:p>
    <w:p w:rsidR="001675DF" w:rsidRDefault="001675DF">
      <w:pPr>
        <w:spacing w:before="240"/>
        <w:rPr>
          <w:rFonts w:asciiTheme="majorHAnsi" w:hAnsiTheme="majorHAnsi" w:cstheme="minorBidi"/>
          <w:iCs/>
          <w:color w:val="E36C0A" w:themeColor="accent6" w:themeShade="BF"/>
        </w:rPr>
      </w:pPr>
    </w:p>
    <w:p w:rsidR="001675DF" w:rsidRDefault="000E12EB">
      <w:pPr>
        <w:spacing w:after="0"/>
        <w:jc w:val="center"/>
        <w:rPr>
          <w:rFonts w:asciiTheme="majorHAnsi" w:hAnsiTheme="majorHAnsi" w:cs="Arial"/>
          <w:b/>
          <w:bCs/>
          <w:color w:val="E36C0A" w:themeColor="accent6" w:themeShade="BF"/>
          <w:sz w:val="32"/>
          <w:szCs w:val="32"/>
          <w:lang w:val="en-GB" w:eastAsia="zh-CN"/>
        </w:rPr>
      </w:pPr>
      <w:r>
        <w:rPr>
          <w:rFonts w:asciiTheme="majorHAnsi" w:hAnsiTheme="majorHAnsi" w:cs="Arial"/>
          <w:b/>
          <w:bCs/>
          <w:color w:val="E36C0A" w:themeColor="accent6" w:themeShade="BF"/>
          <w:sz w:val="32"/>
          <w:szCs w:val="32"/>
          <w:lang w:val="en-GB" w:eastAsia="zh-CN"/>
        </w:rPr>
        <w:lastRenderedPageBreak/>
        <w:t>Template for submissions</w:t>
      </w:r>
    </w:p>
    <w:p w:rsidR="001675DF" w:rsidRDefault="001675DF">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8516"/>
      </w:tblGrid>
      <w:tr w:rsidR="001675DF">
        <w:trPr>
          <w:trHeight w:val="746"/>
        </w:trPr>
        <w:tc>
          <w:tcPr>
            <w:tcW w:w="2484" w:type="pct"/>
            <w:tcBorders>
              <w:top w:val="single" w:sz="4" w:space="0" w:color="auto"/>
              <w:left w:val="single" w:sz="4" w:space="0" w:color="auto"/>
              <w:bottom w:val="single" w:sz="4" w:space="0" w:color="auto"/>
              <w:right w:val="single" w:sz="4" w:space="0" w:color="auto"/>
            </w:tcBorders>
          </w:tcPr>
          <w:p w:rsidR="001675DF" w:rsidRDefault="000E12EB">
            <w:pPr>
              <w:spacing w:before="200" w:after="200"/>
              <w:jc w:val="left"/>
              <w:rPr>
                <w:rFonts w:asciiTheme="majorHAnsi" w:eastAsia="Calibri" w:hAnsiTheme="majorHAnsi" w:cs="Calibri"/>
                <w:b/>
                <w:bCs/>
                <w:sz w:val="22"/>
              </w:rPr>
            </w:pPr>
            <w:bookmarkStart w:id="1" w:name="_Hlk166153357"/>
            <w:r>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rsidR="001675DF" w:rsidRDefault="000E12EB">
            <w:pPr>
              <w:spacing w:before="200" w:after="200" w:line="259" w:lineRule="auto"/>
              <w:contextualSpacing/>
              <w:rPr>
                <w:rFonts w:asciiTheme="majorHAnsi" w:eastAsia="MS Mincho" w:hAnsiTheme="majorHAnsi" w:cs="Calibri"/>
                <w:sz w:val="22"/>
                <w:lang w:eastAsia="ja-JP" w:bidi="th-TH"/>
              </w:rPr>
            </w:pPr>
            <w:r>
              <w:rPr>
                <w:rFonts w:asciiTheme="majorHAnsi" w:eastAsia="MS Mincho" w:hAnsiTheme="majorHAnsi" w:cs="Calibri"/>
                <w:sz w:val="22"/>
                <w:lang w:eastAsia="ja-JP" w:bidi="th-TH"/>
              </w:rPr>
              <w:t xml:space="preserve">Name: Agbebi F.O. and Bamigboye E.O. </w:t>
            </w:r>
          </w:p>
          <w:p w:rsidR="001675DF" w:rsidRDefault="000E12EB">
            <w:pPr>
              <w:spacing w:before="200" w:after="200" w:line="259" w:lineRule="auto"/>
              <w:contextualSpacing/>
              <w:rPr>
                <w:rFonts w:asciiTheme="majorHAnsi" w:eastAsia="MS Mincho" w:hAnsiTheme="majorHAnsi" w:cs="Calibri"/>
                <w:sz w:val="22"/>
                <w:lang w:eastAsia="ja-JP" w:bidi="th-TH"/>
              </w:rPr>
            </w:pPr>
            <w:r>
              <w:rPr>
                <w:rFonts w:asciiTheme="majorHAnsi" w:eastAsia="MS Mincho" w:hAnsiTheme="majorHAnsi" w:cs="Calibri"/>
                <w:sz w:val="22"/>
                <w:lang w:eastAsia="ja-JP" w:bidi="th-TH"/>
              </w:rPr>
              <w:t xml:space="preserve">Organization/Unit: Olusegun Agagu University of Science and Technology/ Fishery Extension </w:t>
            </w:r>
          </w:p>
          <w:p w:rsidR="001675DF" w:rsidRDefault="000E12EB">
            <w:pPr>
              <w:spacing w:before="200" w:after="200" w:line="259" w:lineRule="auto"/>
              <w:contextualSpacing/>
              <w:rPr>
                <w:rFonts w:asciiTheme="majorHAnsi" w:eastAsia="MS Mincho" w:hAnsiTheme="majorHAnsi" w:cs="Calibri"/>
                <w:sz w:val="22"/>
                <w:lang w:eastAsia="ja-JP" w:bidi="th-TH"/>
              </w:rPr>
            </w:pPr>
            <w:r>
              <w:rPr>
                <w:rFonts w:asciiTheme="majorHAnsi" w:eastAsia="MS Mincho" w:hAnsiTheme="majorHAnsi" w:cs="Calibri"/>
                <w:sz w:val="22"/>
                <w:lang w:eastAsia="ja-JP" w:bidi="th-TH"/>
              </w:rPr>
              <w:t xml:space="preserve">Country: Nigeria </w:t>
            </w:r>
          </w:p>
          <w:p w:rsidR="001675DF" w:rsidRDefault="000E12EB">
            <w:pPr>
              <w:spacing w:before="200" w:after="200" w:line="259" w:lineRule="auto"/>
              <w:contextualSpacing/>
              <w:rPr>
                <w:rFonts w:asciiTheme="majorHAnsi" w:eastAsia="MS Mincho" w:hAnsiTheme="majorHAnsi" w:cs="Calibri"/>
                <w:sz w:val="22"/>
                <w:lang w:eastAsia="ja-JP" w:bidi="th-TH"/>
              </w:rPr>
            </w:pPr>
            <w:r>
              <w:rPr>
                <w:rFonts w:asciiTheme="majorHAnsi" w:eastAsia="MS Mincho" w:hAnsiTheme="majorHAnsi" w:cs="Calibri"/>
                <w:sz w:val="22"/>
                <w:lang w:eastAsia="ja-JP" w:bidi="th-TH"/>
              </w:rPr>
              <w:t xml:space="preserve">Email address: fo.agbebi@oaustech.edu.ng </w:t>
            </w:r>
          </w:p>
          <w:p w:rsidR="001675DF" w:rsidRDefault="001675DF">
            <w:pPr>
              <w:spacing w:before="200" w:after="200" w:line="259" w:lineRule="auto"/>
              <w:contextualSpacing/>
              <w:rPr>
                <w:rFonts w:asciiTheme="majorHAnsi" w:eastAsia="MS Mincho" w:hAnsiTheme="majorHAnsi" w:cs="Calibri"/>
                <w:sz w:val="22"/>
                <w:lang w:eastAsia="ja-JP" w:bidi="th-TH"/>
              </w:rPr>
            </w:pPr>
          </w:p>
        </w:tc>
      </w:tr>
      <w:tr w:rsidR="001675DF">
        <w:trPr>
          <w:trHeight w:val="746"/>
        </w:trPr>
        <w:tc>
          <w:tcPr>
            <w:tcW w:w="2484" w:type="pct"/>
            <w:tcBorders>
              <w:top w:val="single" w:sz="4" w:space="0" w:color="auto"/>
              <w:left w:val="single" w:sz="4" w:space="0" w:color="auto"/>
              <w:bottom w:val="single" w:sz="4" w:space="0" w:color="auto"/>
              <w:right w:val="single" w:sz="4" w:space="0" w:color="auto"/>
            </w:tcBorders>
          </w:tcPr>
          <w:p w:rsidR="001675DF" w:rsidRDefault="000E12EB">
            <w:pPr>
              <w:spacing w:before="200" w:after="200"/>
              <w:jc w:val="left"/>
              <w:rPr>
                <w:rFonts w:asciiTheme="majorHAnsi" w:eastAsia="Calibri" w:hAnsiTheme="majorHAnsi" w:cs="Calibri"/>
                <w:b/>
                <w:bCs/>
                <w:sz w:val="22"/>
              </w:rPr>
            </w:pPr>
            <w:r>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rsidR="001675DF" w:rsidRDefault="000E12EB">
            <w:pPr>
              <w:spacing w:before="200" w:after="200" w:line="259" w:lineRule="auto"/>
              <w:contextualSpacing/>
              <w:jc w:val="left"/>
              <w:rPr>
                <w:rFonts w:asciiTheme="majorHAnsi" w:eastAsia="MS Mincho" w:hAnsiTheme="majorHAnsi" w:cs="Calibri"/>
                <w:sz w:val="22"/>
                <w:lang w:eastAsia="ja-JP" w:bidi="th-TH"/>
              </w:rPr>
            </w:pPr>
            <w:r>
              <w:rPr>
                <w:rFonts w:asciiTheme="majorHAnsi" w:eastAsia="MS Mincho" w:hAnsiTheme="majorHAnsi" w:cs="Calibri"/>
                <w:sz w:val="22"/>
                <w:lang w:eastAsia="ja-JP" w:bidi="th-TH"/>
              </w:rPr>
              <w:t xml:space="preserve">Integrating community and conventional Approaches to Climate change mitigation among crop Farmers in Nigeria  </w:t>
            </w:r>
          </w:p>
        </w:tc>
      </w:tr>
      <w:bookmarkEnd w:id="1"/>
      <w:tr w:rsidR="001675DF">
        <w:trPr>
          <w:trHeight w:val="2719"/>
        </w:trPr>
        <w:tc>
          <w:tcPr>
            <w:tcW w:w="2484" w:type="pct"/>
            <w:tcBorders>
              <w:top w:val="single" w:sz="4" w:space="0" w:color="auto"/>
              <w:left w:val="single" w:sz="4" w:space="0" w:color="auto"/>
              <w:bottom w:val="single" w:sz="4" w:space="0" w:color="auto"/>
              <w:right w:val="single" w:sz="4" w:space="0" w:color="auto"/>
            </w:tcBorders>
          </w:tcPr>
          <w:p w:rsidR="001675DF" w:rsidRDefault="000E12EB">
            <w:pPr>
              <w:spacing w:before="200" w:after="200"/>
              <w:jc w:val="left"/>
              <w:rPr>
                <w:rFonts w:asciiTheme="majorHAnsi" w:eastAsia="Calibri" w:hAnsiTheme="majorHAnsi" w:cs="Calibri"/>
                <w:b/>
                <w:bCs/>
                <w:sz w:val="22"/>
              </w:rPr>
            </w:pPr>
            <w:r>
              <w:rPr>
                <w:rFonts w:asciiTheme="majorHAnsi" w:eastAsia="Calibri" w:hAnsiTheme="majorHAnsi" w:cs="Calibri"/>
                <w:b/>
                <w:bCs/>
                <w:sz w:val="22"/>
              </w:rPr>
              <w:t xml:space="preserve">Where is the good practice taking place? </w:t>
            </w:r>
            <w:r>
              <w:rPr>
                <w:rFonts w:asciiTheme="majorHAnsi" w:eastAsia="Calibri" w:hAnsiTheme="majorHAnsi" w:cs="Calibri"/>
                <w:sz w:val="22"/>
              </w:rPr>
              <w:t>(Multiple selection allowed)</w:t>
            </w:r>
          </w:p>
        </w:tc>
        <w:tc>
          <w:tcPr>
            <w:tcW w:w="2516" w:type="pct"/>
            <w:tcBorders>
              <w:top w:val="single" w:sz="4" w:space="0" w:color="auto"/>
              <w:left w:val="single" w:sz="4" w:space="0" w:color="auto"/>
              <w:bottom w:val="single" w:sz="4" w:space="0" w:color="auto"/>
              <w:right w:val="single" w:sz="4" w:space="0" w:color="auto"/>
            </w:tcBorders>
          </w:tcPr>
          <w:p w:rsidR="001675DF" w:rsidRDefault="000E12EB">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EndPr/>
              <w:sdtContent>
                <w:r>
                  <w:rPr>
                    <w:rFonts w:ascii="Segoe UI Symbol" w:eastAsia="MS Gothic"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Europe and Central Asia</w:t>
            </w:r>
          </w:p>
          <w:p w:rsidR="001675DF" w:rsidRDefault="000E12EB">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EndPr/>
              <w:sdtContent>
                <w:r>
                  <w:rPr>
                    <w:rFonts w:ascii="Segoe UI Symbol" w:eastAsia="MS Gothic"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Latin America and the Caribbean </w:t>
            </w:r>
          </w:p>
          <w:p w:rsidR="001675DF" w:rsidRDefault="000E12EB">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EndPr/>
              <w:sdtContent>
                <w:r>
                  <w:rPr>
                    <w:rFonts w:ascii="Segoe UI Symbol" w:eastAsia="MS Mincho"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North Africa and Near East</w:t>
            </w:r>
          </w:p>
          <w:p w:rsidR="001675DF" w:rsidRDefault="000E12EB">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1"/>
                  <w14:checkedState w14:val="2612" w14:font="MS Gothic"/>
                  <w14:uncheckedState w14:val="2610" w14:font="MS Gothic"/>
                </w14:checkbox>
              </w:sdtPr>
              <w:sdtEndPr/>
              <w:sdtContent>
                <w:r>
                  <w:rPr>
                    <w:rFonts w:ascii="MS Gothic" w:eastAsia="MS Gothic" w:hAnsi="MS Gothic" w:hint="eastAsia"/>
                    <w:bCs/>
                    <w:sz w:val="22"/>
                    <w:lang w:val="en-GB" w:eastAsia="ja-JP" w:bidi="th-TH"/>
                  </w:rPr>
                  <w:t>☒</w:t>
                </w:r>
              </w:sdtContent>
            </w:sdt>
            <w:r>
              <w:rPr>
                <w:rFonts w:asciiTheme="majorHAnsi" w:eastAsia="MS Mincho" w:hAnsiTheme="majorHAnsi"/>
                <w:bCs/>
                <w:sz w:val="22"/>
                <w:lang w:val="en-GB" w:eastAsia="ja-JP" w:bidi="th-TH"/>
              </w:rPr>
              <w:t xml:space="preserve"> Sub-Saharan Africa</w:t>
            </w:r>
          </w:p>
          <w:p w:rsidR="001675DF" w:rsidRDefault="000E12EB">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0"/>
                  <w14:checkedState w14:val="2612" w14:font="MS Gothic"/>
                  <w14:uncheckedState w14:val="2610" w14:font="MS Gothic"/>
                </w14:checkbox>
              </w:sdtPr>
              <w:sdtEndPr/>
              <w:sdtContent>
                <w:r>
                  <w:rPr>
                    <w:rFonts w:ascii="Segoe UI Symbol" w:eastAsia="MS Mincho"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Asia and the Pacific</w:t>
            </w:r>
          </w:p>
          <w:p w:rsidR="001675DF" w:rsidRDefault="000E12EB">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EndPr/>
              <w:sdtContent>
                <w:r>
                  <w:rPr>
                    <w:rFonts w:ascii="Segoe UI Symbol" w:eastAsia="MS Mincho"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North America</w:t>
            </w:r>
          </w:p>
          <w:p w:rsidR="001675DF" w:rsidRDefault="000E12EB">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EndPr/>
              <w:sdtContent>
                <w:r>
                  <w:rPr>
                    <w:rFonts w:ascii="Segoe UI Symbol" w:eastAsia="MS Mincho"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Global</w:t>
            </w:r>
          </w:p>
        </w:tc>
      </w:tr>
      <w:tr w:rsidR="001675DF">
        <w:trPr>
          <w:trHeight w:val="369"/>
        </w:trPr>
        <w:tc>
          <w:tcPr>
            <w:tcW w:w="2484" w:type="pct"/>
          </w:tcPr>
          <w:p w:rsidR="001675DF" w:rsidRDefault="000E12EB">
            <w:pPr>
              <w:spacing w:before="200" w:after="200"/>
              <w:jc w:val="left"/>
              <w:rPr>
                <w:rFonts w:asciiTheme="majorHAnsi" w:eastAsia="Calibri" w:hAnsiTheme="majorHAnsi" w:cs="Calibri"/>
                <w:b/>
                <w:bCs/>
                <w:sz w:val="22"/>
              </w:rPr>
            </w:pPr>
            <w:r>
              <w:rPr>
                <w:rFonts w:asciiTheme="majorHAnsi" w:eastAsia="Calibri" w:hAnsiTheme="majorHAnsi" w:cs="Calibri"/>
                <w:b/>
                <w:bCs/>
                <w:sz w:val="22"/>
              </w:rPr>
              <w:t>Affiliation</w:t>
            </w:r>
          </w:p>
        </w:tc>
        <w:tc>
          <w:tcPr>
            <w:tcW w:w="2516" w:type="pct"/>
          </w:tcPr>
          <w:p w:rsidR="001675DF" w:rsidRDefault="000E12EB">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1"/>
                  <w14:checkedState w14:val="2612" w14:font="MS Gothic"/>
                  <w14:uncheckedState w14:val="2610" w14:font="MS Gothic"/>
                </w14:checkbox>
              </w:sdtPr>
              <w:sdtEndPr/>
              <w:sdtContent>
                <w:r>
                  <w:rPr>
                    <w:rFonts w:ascii="MS Gothic" w:eastAsia="MS Gothic" w:hAnsi="MS Gothic" w:hint="eastAsia"/>
                    <w:bCs/>
                    <w:sz w:val="22"/>
                    <w:lang w:val="en-GB" w:eastAsia="ja-JP" w:bidi="th-TH"/>
                  </w:rPr>
                  <w:t>☒</w:t>
                </w:r>
              </w:sdtContent>
            </w:sdt>
            <w:r>
              <w:rPr>
                <w:rFonts w:asciiTheme="majorHAnsi" w:eastAsia="MS Mincho" w:hAnsiTheme="majorHAnsi"/>
                <w:bCs/>
                <w:sz w:val="22"/>
                <w:lang w:val="en-GB" w:eastAsia="ja-JP" w:bidi="th-TH"/>
              </w:rPr>
              <w:t xml:space="preserve">  Farmer and producer organizations</w:t>
            </w:r>
          </w:p>
          <w:p w:rsidR="001675DF" w:rsidRDefault="000E12EB">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EndPr/>
              <w:sdtContent>
                <w:r>
                  <w:rPr>
                    <w:rFonts w:ascii="Segoe UI Symbol" w:eastAsia="MS Gothic"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Trade Union </w:t>
            </w:r>
          </w:p>
          <w:p w:rsidR="001675DF" w:rsidRDefault="000E12EB">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1"/>
                  <w14:checkedState w14:val="2612" w14:font="MS Gothic"/>
                  <w14:uncheckedState w14:val="2610" w14:font="MS Gothic"/>
                </w14:checkbox>
              </w:sdtPr>
              <w:sdtEndPr/>
              <w:sdtContent>
                <w:r>
                  <w:rPr>
                    <w:rFonts w:ascii="MS Gothic" w:eastAsia="MS Gothic" w:hAnsi="MS Gothic" w:hint="eastAsia"/>
                    <w:bCs/>
                    <w:sz w:val="22"/>
                    <w:lang w:val="en-GB" w:eastAsia="ja-JP" w:bidi="th-TH"/>
                  </w:rPr>
                  <w:t>☒</w:t>
                </w:r>
              </w:sdtContent>
            </w:sdt>
            <w:r>
              <w:rPr>
                <w:rFonts w:asciiTheme="majorHAnsi" w:eastAsia="MS Mincho" w:hAnsiTheme="majorHAnsi"/>
                <w:bCs/>
                <w:sz w:val="22"/>
                <w:lang w:val="en-GB" w:eastAsia="ja-JP" w:bidi="th-TH"/>
              </w:rPr>
              <w:t xml:space="preserve"> Informal community-based, farmer-based or self-help group  </w:t>
            </w:r>
          </w:p>
          <w:p w:rsidR="001675DF" w:rsidRDefault="000E12EB">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1"/>
                  <w14:checkedState w14:val="2612" w14:font="MS Gothic"/>
                  <w14:uncheckedState w14:val="2610" w14:font="MS Gothic"/>
                </w14:checkbox>
              </w:sdtPr>
              <w:sdtEndPr/>
              <w:sdtContent>
                <w:r>
                  <w:rPr>
                    <w:rFonts w:ascii="MS Gothic" w:eastAsia="MS Gothic" w:hAnsi="MS Gothic" w:hint="eastAsia"/>
                    <w:bCs/>
                    <w:sz w:val="22"/>
                    <w:lang w:val="en-GB" w:eastAsia="ja-JP" w:bidi="th-TH"/>
                  </w:rPr>
                  <w:t>☒</w:t>
                </w:r>
              </w:sdtContent>
            </w:sdt>
            <w:r>
              <w:rPr>
                <w:rFonts w:asciiTheme="majorHAnsi" w:eastAsia="MS Mincho" w:hAnsiTheme="majorHAnsi"/>
                <w:bCs/>
                <w:sz w:val="22"/>
                <w:lang w:val="en-GB" w:eastAsia="ja-JP" w:bidi="th-TH"/>
              </w:rPr>
              <w:t xml:space="preserve">  Research and academia</w:t>
            </w:r>
          </w:p>
          <w:p w:rsidR="001675DF" w:rsidRDefault="000E12EB">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EndPr/>
              <w:sdtContent>
                <w:r>
                  <w:rPr>
                    <w:rFonts w:ascii="Segoe UI Symbol" w:eastAsia="MS Gothic"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Government</w:t>
            </w:r>
          </w:p>
          <w:p w:rsidR="001675DF" w:rsidRDefault="000E12EB">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1"/>
                  <w14:checkedState w14:val="2612" w14:font="MS Gothic"/>
                  <w14:uncheckedState w14:val="2610" w14:font="MS Gothic"/>
                </w14:checkbox>
              </w:sdtPr>
              <w:sdtEndPr/>
              <w:sdtContent>
                <w:r>
                  <w:rPr>
                    <w:rFonts w:ascii="MS Gothic" w:eastAsia="MS Gothic" w:hAnsi="MS Gothic" w:hint="eastAsia"/>
                    <w:bCs/>
                    <w:sz w:val="22"/>
                    <w:lang w:val="en-GB" w:eastAsia="ja-JP" w:bidi="th-TH"/>
                  </w:rPr>
                  <w:t>☒</w:t>
                </w:r>
              </w:sdtContent>
            </w:sdt>
            <w:r>
              <w:rPr>
                <w:rFonts w:asciiTheme="majorHAnsi" w:eastAsia="MS Mincho" w:hAnsiTheme="majorHAnsi"/>
                <w:bCs/>
                <w:sz w:val="22"/>
                <w:lang w:val="en-GB" w:eastAsia="ja-JP" w:bidi="th-TH"/>
              </w:rPr>
              <w:t xml:space="preserve">  Local/traditional authorities</w:t>
            </w:r>
          </w:p>
          <w:p w:rsidR="001675DF" w:rsidRDefault="000E12EB">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EndPr/>
              <w:sdtContent>
                <w:r>
                  <w:rPr>
                    <w:rFonts w:ascii="Segoe UI Symbol" w:eastAsia="MS Mincho"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Private Sector</w:t>
            </w:r>
          </w:p>
          <w:p w:rsidR="001675DF" w:rsidRDefault="000E12EB">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0"/>
                  <w14:checkedState w14:val="2612" w14:font="MS Gothic"/>
                  <w14:uncheckedState w14:val="2610" w14:font="MS Gothic"/>
                </w14:checkbox>
              </w:sdtPr>
              <w:sdtEndPr/>
              <w:sdtContent>
                <w:r>
                  <w:rPr>
                    <w:rFonts w:ascii="Segoe UI Symbol" w:eastAsia="MS Gothic"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Civil Society Organization</w:t>
            </w:r>
          </w:p>
          <w:p w:rsidR="001675DF" w:rsidRDefault="000E12EB">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EndPr/>
              <w:sdtContent>
                <w:r>
                  <w:rPr>
                    <w:rFonts w:ascii="Segoe UI Symbol" w:eastAsia="MS Mincho"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Intergovernmental Organization (e.g. UN system, World Bank)</w:t>
            </w:r>
          </w:p>
          <w:p w:rsidR="001675DF" w:rsidRDefault="000E12EB">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EndPr/>
              <w:sdtContent>
                <w:r>
                  <w:rPr>
                    <w:rFonts w:ascii="Segoe UI Symbol" w:eastAsia="MS Mincho"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Resource Partner/Donor</w:t>
            </w:r>
          </w:p>
          <w:p w:rsidR="001675DF" w:rsidRDefault="000E12EB">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EndPr/>
              <w:sdtContent>
                <w:r>
                  <w:rPr>
                    <w:rFonts w:ascii="Segoe UI Symbol" w:eastAsia="MS Gothic"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Other (please specify) </w:t>
            </w:r>
          </w:p>
          <w:p w:rsidR="001675DF" w:rsidRDefault="001675DF">
            <w:pPr>
              <w:shd w:val="clear" w:color="auto" w:fill="FFFFFF"/>
              <w:spacing w:before="60" w:after="60"/>
              <w:rPr>
                <w:rFonts w:asciiTheme="majorHAnsi" w:eastAsia="MS Mincho" w:hAnsiTheme="majorHAnsi" w:cs="Calibri"/>
                <w:sz w:val="22"/>
                <w:lang w:eastAsia="ja-JP" w:bidi="th-TH"/>
              </w:rPr>
            </w:pPr>
          </w:p>
        </w:tc>
      </w:tr>
      <w:tr w:rsidR="001675DF">
        <w:trPr>
          <w:trHeight w:val="369"/>
        </w:trPr>
        <w:tc>
          <w:tcPr>
            <w:tcW w:w="2484" w:type="pct"/>
          </w:tcPr>
          <w:p w:rsidR="001675DF" w:rsidRDefault="000E12EB">
            <w:pPr>
              <w:spacing w:before="200" w:after="200"/>
              <w:jc w:val="left"/>
              <w:rPr>
                <w:rFonts w:asciiTheme="majorHAnsi" w:eastAsia="Calibri" w:hAnsiTheme="majorHAnsi" w:cs="Calibri"/>
                <w:b/>
                <w:bCs/>
                <w:sz w:val="22"/>
              </w:rPr>
            </w:pPr>
            <w:r>
              <w:rPr>
                <w:rFonts w:asciiTheme="majorHAnsi" w:eastAsia="Calibri" w:hAnsiTheme="majorHAnsi" w:cs="Calibri"/>
                <w:b/>
                <w:bCs/>
                <w:sz w:val="22"/>
              </w:rPr>
              <w:t>In which sector(s) and context (s) have you used this commun</w:t>
            </w:r>
            <w:r>
              <w:rPr>
                <w:rFonts w:asciiTheme="majorHAnsi" w:eastAsia="Calibri" w:hAnsiTheme="majorHAnsi" w:cs="Calibri"/>
                <w:b/>
                <w:bCs/>
                <w:sz w:val="22"/>
              </w:rPr>
              <w:lastRenderedPageBreak/>
              <w:t xml:space="preserve">ity engagement good practice? </w:t>
            </w:r>
            <w:r>
              <w:rPr>
                <w:rFonts w:asciiTheme="majorHAnsi" w:eastAsia="Calibri" w:hAnsiTheme="majorHAnsi" w:cs="Calibri"/>
                <w:sz w:val="22"/>
              </w:rPr>
              <w:t>(Multiple selections allowed)</w:t>
            </w:r>
          </w:p>
          <w:p w:rsidR="001675DF" w:rsidRDefault="001675DF">
            <w:pPr>
              <w:spacing w:before="200" w:after="200"/>
              <w:jc w:val="left"/>
              <w:rPr>
                <w:rFonts w:asciiTheme="majorHAnsi" w:eastAsia="Calibri" w:hAnsiTheme="majorHAnsi" w:cs="Calibri"/>
                <w:b/>
                <w:bCs/>
                <w:sz w:val="22"/>
              </w:rPr>
            </w:pPr>
          </w:p>
        </w:tc>
        <w:tc>
          <w:tcPr>
            <w:tcW w:w="2516" w:type="pct"/>
          </w:tcPr>
          <w:p w:rsidR="001675DF" w:rsidRDefault="000E12EB">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0"/>
                  <w14:checkedState w14:val="2612" w14:font="MS Gothic"/>
                  <w14:uncheckedState w14:val="2610" w14:font="MS Gothic"/>
                </w14:checkbox>
              </w:sdtPr>
              <w:sdtEndPr/>
              <w:sdtContent>
                <w:r>
                  <w:rPr>
                    <w:rFonts w:ascii="Segoe UI Symbol" w:eastAsia="MS Gothic"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cs="Calibri"/>
                <w:sz w:val="22"/>
              </w:rPr>
              <w:t>Education</w:t>
            </w:r>
          </w:p>
          <w:p w:rsidR="001675DF" w:rsidRDefault="000E12EB">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0"/>
                  <w14:checkedState w14:val="2612" w14:font="MS Gothic"/>
                  <w14:uncheckedState w14:val="2610" w14:font="MS Gothic"/>
                </w14:checkbox>
              </w:sdtPr>
              <w:sdtEndPr/>
              <w:sdtContent>
                <w:r>
                  <w:rPr>
                    <w:rFonts w:ascii="Segoe UI Symbol" w:eastAsia="MS Gothic"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cs="Calibri"/>
                <w:sz w:val="22"/>
              </w:rPr>
              <w:t>Health and Sanitation</w:t>
            </w:r>
          </w:p>
          <w:p w:rsidR="001675DF" w:rsidRDefault="000E12EB">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1"/>
                  <w14:checkedState w14:val="2612" w14:font="MS Gothic"/>
                  <w14:uncheckedState w14:val="2610" w14:font="MS Gothic"/>
                </w14:checkbox>
              </w:sdtPr>
              <w:sdtEndPr/>
              <w:sdtContent>
                <w:r>
                  <w:rPr>
                    <w:rFonts w:ascii="MS Gothic" w:eastAsia="MS Gothic" w:hAnsi="MS Gothic" w:hint="eastAsia"/>
                    <w:bCs/>
                    <w:sz w:val="22"/>
                    <w:lang w:val="en-GB" w:eastAsia="ja-JP" w:bidi="th-TH"/>
                  </w:rPr>
                  <w:t>☒</w:t>
                </w:r>
              </w:sdtContent>
            </w:sdt>
            <w:r>
              <w:rPr>
                <w:rFonts w:asciiTheme="majorHAnsi" w:eastAsia="MS Mincho" w:hAnsiTheme="majorHAnsi"/>
                <w:bCs/>
                <w:sz w:val="22"/>
                <w:lang w:val="en-GB" w:eastAsia="ja-JP" w:bidi="th-TH"/>
              </w:rPr>
              <w:t xml:space="preserve">  Food</w:t>
            </w:r>
            <w:r>
              <w:rPr>
                <w:rFonts w:asciiTheme="majorHAnsi" w:eastAsia="Calibri" w:hAnsiTheme="majorHAnsi" w:cs="Calibri"/>
                <w:sz w:val="22"/>
              </w:rPr>
              <w:t xml:space="preserve"> production in agrifood systems (please also tick the sub-categories)</w:t>
            </w:r>
          </w:p>
          <w:p w:rsidR="001675DF" w:rsidRDefault="000E12EB">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1"/>
                  <w14:checkedState w14:val="2612" w14:font="MS Gothic"/>
                  <w14:uncheckedState w14:val="2610" w14:font="MS Gothic"/>
                </w14:checkbox>
              </w:sdtPr>
              <w:sdtEndPr/>
              <w:sdtContent>
                <w:r>
                  <w:rPr>
                    <w:rFonts w:ascii="MS Gothic" w:eastAsia="MS Gothic" w:hAnsi="MS Gothic" w:hint="eastAsia"/>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cs="Calibri"/>
                <w:i/>
                <w:iCs/>
                <w:sz w:val="22"/>
              </w:rPr>
              <w:t xml:space="preserve">Crop </w:t>
            </w:r>
            <w:r>
              <w:rPr>
                <w:rFonts w:asciiTheme="majorHAnsi" w:eastAsia="Calibri" w:hAnsiTheme="majorHAnsi" w:cs="Calibri"/>
                <w:i/>
                <w:iCs/>
                <w:sz w:val="22"/>
              </w:rPr>
              <w:t>cultivation</w:t>
            </w:r>
          </w:p>
          <w:p w:rsidR="001675DF" w:rsidRDefault="000E12EB">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1"/>
                  <w14:checkedState w14:val="2612" w14:font="MS Gothic"/>
                  <w14:uncheckedState w14:val="2610" w14:font="MS Gothic"/>
                </w14:checkbox>
              </w:sdtPr>
              <w:sdtEndPr/>
              <w:sdtContent>
                <w:r>
                  <w:rPr>
                    <w:rFonts w:ascii="MS Gothic" w:eastAsia="MS Gothic" w:hAnsi="MS Gothic" w:hint="eastAsia"/>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cs="Calibri"/>
                <w:i/>
                <w:iCs/>
                <w:sz w:val="22"/>
              </w:rPr>
              <w:t>Fisheries and aquaculture production</w:t>
            </w:r>
          </w:p>
          <w:p w:rsidR="001675DF" w:rsidRDefault="000E12EB">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0"/>
                  <w14:checkedState w14:val="2612" w14:font="MS Gothic"/>
                  <w14:uncheckedState w14:val="2610" w14:font="MS Gothic"/>
                </w14:checkbox>
              </w:sdtPr>
              <w:sdtEndPr/>
              <w:sdtContent>
                <w:r>
                  <w:rPr>
                    <w:rFonts w:ascii="Segoe UI Symbol" w:eastAsia="MS Gothic"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cs="Calibri"/>
                <w:i/>
                <w:iCs/>
                <w:sz w:val="22"/>
              </w:rPr>
              <w:t>Livestock</w:t>
            </w:r>
          </w:p>
          <w:p w:rsidR="001675DF" w:rsidRDefault="000E12EB">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0"/>
                  <w14:checkedState w14:val="2612" w14:font="MS Gothic"/>
                  <w14:uncheckedState w14:val="2610" w14:font="MS Gothic"/>
                </w14:checkbox>
              </w:sdtPr>
              <w:sdtEndPr/>
              <w:sdtContent>
                <w:r>
                  <w:rPr>
                    <w:rFonts w:ascii="Segoe UI Symbol" w:eastAsia="MS Gothic"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cs="Calibri"/>
                <w:i/>
                <w:iCs/>
                <w:sz w:val="22"/>
              </w:rPr>
              <w:t>Forestry</w:t>
            </w:r>
          </w:p>
          <w:p w:rsidR="001675DF" w:rsidRDefault="000E12EB">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1"/>
                  <w14:checkedState w14:val="2612" w14:font="MS Gothic"/>
                  <w14:uncheckedState w14:val="2610" w14:font="MS Gothic"/>
                </w14:checkbox>
              </w:sdtPr>
              <w:sdtEndPr/>
              <w:sdtContent>
                <w:r>
                  <w:rPr>
                    <w:rFonts w:ascii="MS Gothic" w:eastAsia="MS Gothic" w:hAnsi="MS Gothic" w:hint="eastAsia"/>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cs="Calibri"/>
                <w:i/>
                <w:iCs/>
                <w:sz w:val="22"/>
              </w:rPr>
              <w:t>Agroforestry</w:t>
            </w:r>
          </w:p>
          <w:p w:rsidR="001675DF" w:rsidRDefault="000E12EB">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0"/>
                  <w14:checkedState w14:val="2612" w14:font="MS Gothic"/>
                  <w14:uncheckedState w14:val="2610" w14:font="MS Gothic"/>
                </w14:checkbox>
              </w:sdtPr>
              <w:sdtEndPr/>
              <w:sdtContent>
                <w:r>
                  <w:rPr>
                    <w:rFonts w:ascii="Segoe UI Symbol" w:eastAsia="MS Gothic"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cs="Calibri"/>
                <w:i/>
                <w:iCs/>
                <w:sz w:val="22"/>
              </w:rPr>
              <w:t xml:space="preserve">Horticulture </w:t>
            </w:r>
          </w:p>
          <w:p w:rsidR="001675DF" w:rsidRDefault="000E12EB">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1"/>
                  <w14:checkedState w14:val="2612" w14:font="MS Gothic"/>
                  <w14:uncheckedState w14:val="2610" w14:font="MS Gothic"/>
                </w14:checkbox>
              </w:sdtPr>
              <w:sdtEndPr/>
              <w:sdtContent>
                <w:r>
                  <w:rPr>
                    <w:rFonts w:ascii="MS Gothic" w:eastAsia="MS Gothic" w:hAnsi="MS Gothic" w:hint="eastAsia"/>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cs="Calibri"/>
                <w:i/>
                <w:iCs/>
                <w:sz w:val="22"/>
              </w:rPr>
              <w:t>Apiculture (beekeeping)</w:t>
            </w:r>
          </w:p>
          <w:p w:rsidR="001675DF" w:rsidRDefault="000E12EB">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1"/>
                  <w14:checkedState w14:val="2612" w14:font="MS Gothic"/>
                  <w14:uncheckedState w14:val="2610" w14:font="MS Gothic"/>
                </w14:checkbox>
              </w:sdtPr>
              <w:sdtEndPr/>
              <w:sdtContent>
                <w:r>
                  <w:rPr>
                    <w:rFonts w:ascii="MS Gothic" w:eastAsia="MS Gothic" w:hAnsi="MS Gothic" w:hint="eastAsia"/>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cs="Calibri"/>
                <w:i/>
                <w:iCs/>
                <w:sz w:val="22"/>
              </w:rPr>
              <w:t>Agroecology and sustainable farming practices</w:t>
            </w:r>
          </w:p>
          <w:p w:rsidR="001675DF" w:rsidRDefault="000E12EB">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0"/>
                  <w14:checkedState w14:val="2612" w14:font="MS Gothic"/>
                  <w14:uncheckedState w14:val="2610" w14:font="MS Gothic"/>
                </w14:checkbox>
              </w:sdtPr>
              <w:sdtEndPr/>
              <w:sdtContent>
                <w:r>
                  <w:rPr>
                    <w:rFonts w:ascii="Segoe UI Symbol" w:eastAsia="MS Gothic"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cs="Calibri"/>
                <w:i/>
                <w:iCs/>
                <w:sz w:val="22"/>
              </w:rPr>
              <w:t>Soil and water management</w:t>
            </w:r>
          </w:p>
          <w:p w:rsidR="001675DF" w:rsidRDefault="000E12EB">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EndPr/>
              <w:sdtContent>
                <w:r>
                  <w:rPr>
                    <w:rFonts w:ascii="Segoe UI Symbol" w:eastAsia="MS Gothic"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MS Mincho" w:hAnsiTheme="majorHAnsi"/>
                <w:bCs/>
                <w:i/>
                <w:iCs/>
                <w:sz w:val="22"/>
                <w:lang w:val="en-GB" w:eastAsia="ja-JP" w:bidi="th-TH"/>
              </w:rPr>
              <w:t>Other:</w:t>
            </w:r>
            <w:r>
              <w:rPr>
                <w:rFonts w:asciiTheme="majorHAnsi" w:eastAsia="MS Mincho" w:hAnsiTheme="majorHAnsi"/>
                <w:bCs/>
                <w:sz w:val="22"/>
                <w:lang w:val="en-GB" w:eastAsia="ja-JP" w:bidi="th-TH"/>
              </w:rPr>
              <w:t xml:space="preserve"> ____________</w:t>
            </w:r>
          </w:p>
          <w:p w:rsidR="001675DF" w:rsidRDefault="000E12EB">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0"/>
                  <w14:checkedState w14:val="2612" w14:font="MS Gothic"/>
                  <w14:uncheckedState w14:val="2610" w14:font="MS Gothic"/>
                </w14:checkbox>
              </w:sdtPr>
              <w:sdtEndPr/>
              <w:sdtContent>
                <w:r>
                  <w:rPr>
                    <w:rFonts w:ascii="Segoe UI Symbol" w:eastAsia="MS Gothic"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Post-production in agrifood systems </w:t>
            </w:r>
            <w:r>
              <w:rPr>
                <w:rFonts w:asciiTheme="majorHAnsi" w:eastAsia="Calibri" w:hAnsiTheme="majorHAnsi" w:cs="Calibri"/>
                <w:sz w:val="22"/>
              </w:rPr>
              <w:t>(please also tick the sub-categories)</w:t>
            </w:r>
          </w:p>
          <w:p w:rsidR="001675DF" w:rsidRDefault="001675DF">
            <w:pPr>
              <w:spacing w:after="0"/>
              <w:jc w:val="left"/>
              <w:rPr>
                <w:rFonts w:asciiTheme="majorHAnsi" w:eastAsia="Calibri" w:hAnsiTheme="majorHAnsi" w:cs="Calibri"/>
                <w:i/>
                <w:iCs/>
                <w:sz w:val="22"/>
              </w:rPr>
            </w:pPr>
          </w:p>
          <w:p w:rsidR="001675DF" w:rsidRDefault="000E12EB">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1"/>
                  <w14:checkedState w14:val="2612" w14:font="MS Gothic"/>
                  <w14:uncheckedState w14:val="2610" w14:font="MS Gothic"/>
                </w14:checkbox>
              </w:sdtPr>
              <w:sdtEndPr/>
              <w:sdtContent>
                <w:r>
                  <w:rPr>
                    <w:rFonts w:ascii="MS Gothic" w:eastAsia="MS Gothic" w:hAnsi="MS Gothic" w:hint="eastAsia"/>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MS Mincho" w:hAnsiTheme="majorHAnsi"/>
                <w:bCs/>
                <w:i/>
                <w:iCs/>
                <w:sz w:val="22"/>
                <w:lang w:val="en-GB" w:eastAsia="ja-JP" w:bidi="th-TH"/>
              </w:rPr>
              <w:t>P</w:t>
            </w:r>
            <w:r>
              <w:rPr>
                <w:rFonts w:asciiTheme="majorHAnsi" w:eastAsia="Calibri" w:hAnsiTheme="majorHAnsi" w:cs="Calibri"/>
                <w:i/>
                <w:iCs/>
                <w:sz w:val="22"/>
              </w:rPr>
              <w:t xml:space="preserve">rocessing and value addition </w:t>
            </w:r>
          </w:p>
          <w:p w:rsidR="001675DF" w:rsidRDefault="000E12EB">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1"/>
                  <w14:checkedState w14:val="2612" w14:font="MS Gothic"/>
                  <w14:uncheckedState w14:val="2610" w14:font="MS Gothic"/>
                </w14:checkbox>
              </w:sdtPr>
              <w:sdtEndPr/>
              <w:sdtContent>
                <w:r>
                  <w:rPr>
                    <w:rFonts w:ascii="MS Gothic" w:eastAsia="MS Gothic" w:hAnsi="MS Gothic" w:hint="eastAsia"/>
                    <w:bCs/>
                    <w:sz w:val="22"/>
                    <w:lang w:val="en-GB" w:eastAsia="ja-JP" w:bidi="th-TH"/>
                  </w:rPr>
                  <w:t>☒</w:t>
                </w:r>
              </w:sdtContent>
            </w:sdt>
            <w:r>
              <w:rPr>
                <w:rFonts w:asciiTheme="majorHAnsi" w:eastAsia="Calibri" w:hAnsiTheme="majorHAnsi" w:cs="Calibri"/>
                <w:sz w:val="22"/>
              </w:rPr>
              <w:t xml:space="preserve"> </w:t>
            </w:r>
            <w:r>
              <w:rPr>
                <w:rFonts w:asciiTheme="majorHAnsi" w:eastAsia="Calibri" w:hAnsiTheme="majorHAnsi" w:cs="Calibri"/>
                <w:i/>
                <w:iCs/>
                <w:sz w:val="22"/>
              </w:rPr>
              <w:t xml:space="preserve">Marketing and retailing  </w:t>
            </w:r>
          </w:p>
          <w:p w:rsidR="001675DF" w:rsidRDefault="000E12EB">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EndPr/>
              <w:sdtContent>
                <w:r>
                  <w:rPr>
                    <w:rFonts w:ascii="Segoe UI Symbol" w:eastAsia="MS Gothic" w:hAnsi="Segoe UI Symbol" w:cs="Segoe UI Symbol"/>
                    <w:bCs/>
                    <w:sz w:val="22"/>
                    <w:lang w:val="en-GB" w:eastAsia="ja-JP" w:bidi="th-TH"/>
                  </w:rPr>
                  <w:t>☐</w:t>
                </w:r>
              </w:sdtContent>
            </w:sdt>
            <w:r>
              <w:rPr>
                <w:rFonts w:asciiTheme="majorHAnsi" w:eastAsia="Calibri" w:hAnsiTheme="majorHAnsi" w:cs="Calibri"/>
                <w:sz w:val="22"/>
              </w:rPr>
              <w:t xml:space="preserve"> </w:t>
            </w:r>
            <w:r>
              <w:rPr>
                <w:rFonts w:asciiTheme="majorHAnsi" w:eastAsia="Calibri" w:hAnsiTheme="majorHAnsi" w:cs="Calibri"/>
                <w:i/>
                <w:iCs/>
                <w:sz w:val="22"/>
              </w:rPr>
              <w:t>Transporting</w:t>
            </w:r>
            <w:r>
              <w:rPr>
                <w:rFonts w:asciiTheme="majorHAnsi" w:eastAsia="Calibri" w:hAnsiTheme="majorHAnsi" w:cs="Calibri"/>
                <w:sz w:val="22"/>
              </w:rPr>
              <w:t xml:space="preserve"> </w:t>
            </w:r>
          </w:p>
          <w:p w:rsidR="001675DF" w:rsidRDefault="000E12EB">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1"/>
                  <w14:checkedState w14:val="2612" w14:font="MS Gothic"/>
                  <w14:uncheckedState w14:val="2610" w14:font="MS Gothic"/>
                </w14:checkbox>
              </w:sdtPr>
              <w:sdtEndPr/>
              <w:sdtContent>
                <w:r>
                  <w:rPr>
                    <w:rFonts w:ascii="MS Gothic" w:eastAsia="MS Gothic" w:hAnsi="MS Gothic" w:hint="eastAsia"/>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cs="Calibri"/>
                <w:i/>
                <w:iCs/>
                <w:sz w:val="22"/>
              </w:rPr>
              <w:t>Food loss and waste</w:t>
            </w:r>
          </w:p>
          <w:p w:rsidR="001675DF" w:rsidRDefault="000E12EB">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1"/>
                  <w14:checkedState w14:val="2612" w14:font="MS Gothic"/>
                  <w14:uncheckedState w14:val="2610" w14:font="MS Gothic"/>
                </w14:checkbox>
              </w:sdtPr>
              <w:sdtEndPr/>
              <w:sdtContent>
                <w:r>
                  <w:rPr>
                    <w:rFonts w:ascii="MS Gothic" w:eastAsia="MS Gothic" w:hAnsi="MS Gothic" w:hint="eastAsia"/>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cs="Calibri"/>
                <w:i/>
                <w:iCs/>
                <w:sz w:val="22"/>
              </w:rPr>
              <w:t xml:space="preserve">Packaging </w:t>
            </w:r>
          </w:p>
          <w:p w:rsidR="001675DF" w:rsidRDefault="000E12EB">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1"/>
                  <w14:checkedState w14:val="2612" w14:font="MS Gothic"/>
                  <w14:uncheckedState w14:val="2610" w14:font="MS Gothic"/>
                </w14:checkbox>
              </w:sdtPr>
              <w:sdtEndPr/>
              <w:sdtContent>
                <w:r>
                  <w:rPr>
                    <w:rFonts w:ascii="MS Gothic" w:eastAsia="MS Gothic" w:hAnsi="MS Gothic" w:hint="eastAsia"/>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cs="Calibri"/>
                <w:i/>
                <w:iCs/>
                <w:sz w:val="22"/>
              </w:rPr>
              <w:t>Storage</w:t>
            </w:r>
          </w:p>
          <w:p w:rsidR="001675DF" w:rsidRDefault="000E12EB">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0"/>
                  <w14:checkedState w14:val="2612" w14:font="MS Gothic"/>
                  <w14:uncheckedState w14:val="2610" w14:font="MS Gothic"/>
                </w14:checkbox>
              </w:sdtPr>
              <w:sdtEndPr/>
              <w:sdtContent>
                <w:r>
                  <w:rPr>
                    <w:rFonts w:ascii="Segoe UI Symbol" w:eastAsia="MS Gothic"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cs="Calibri"/>
                <w:i/>
                <w:iCs/>
                <w:sz w:val="22"/>
              </w:rPr>
              <w:t>Distribution</w:t>
            </w:r>
          </w:p>
          <w:p w:rsidR="001675DF" w:rsidRDefault="000E12EB">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EndPr/>
              <w:sdtContent>
                <w:r>
                  <w:rPr>
                    <w:rFonts w:ascii="Segoe UI Symbol" w:eastAsia="MS Gothic"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cs="Calibri"/>
                <w:sz w:val="22"/>
              </w:rPr>
              <w:t>Other _______</w:t>
            </w:r>
          </w:p>
          <w:p w:rsidR="001675DF" w:rsidRDefault="000E12EB">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1"/>
                  <w14:checkedState w14:val="2612" w14:font="MS Gothic"/>
                  <w14:uncheckedState w14:val="2610" w14:font="MS Gothic"/>
                </w14:checkbox>
              </w:sdtPr>
              <w:sdtEndPr/>
              <w:sdtContent>
                <w:r>
                  <w:rPr>
                    <w:rFonts w:ascii="MS Gothic" w:eastAsia="MS Gothic" w:hAnsi="MS Gothic" w:hint="eastAsia"/>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cs="Calibri"/>
                <w:sz w:val="22"/>
              </w:rPr>
              <w:t>Gender Equality</w:t>
            </w:r>
          </w:p>
          <w:p w:rsidR="001675DF" w:rsidRDefault="000E12EB">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1"/>
                  <w14:checkedState w14:val="2612" w14:font="MS Gothic"/>
                  <w14:uncheckedState w14:val="2610" w14:font="MS Gothic"/>
                </w14:checkbox>
              </w:sdtPr>
              <w:sdtEndPr/>
              <w:sdtContent>
                <w:r>
                  <w:rPr>
                    <w:rFonts w:ascii="MS Gothic" w:eastAsia="MS Gothic" w:hAnsi="MS Gothic" w:hint="eastAsia"/>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cs="Calibri"/>
                <w:sz w:val="22"/>
              </w:rPr>
              <w:t xml:space="preserve">Climate Action </w:t>
            </w:r>
          </w:p>
          <w:p w:rsidR="001675DF" w:rsidRDefault="000E12EB">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0"/>
                  <w14:checkedState w14:val="2612" w14:font="MS Gothic"/>
                  <w14:uncheckedState w14:val="2610" w14:font="MS Gothic"/>
                </w14:checkbox>
              </w:sdtPr>
              <w:sdtEndPr/>
              <w:sdtContent>
                <w:r>
                  <w:rPr>
                    <w:rFonts w:ascii="Segoe UI Symbol" w:eastAsia="MS Gothic"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cs="Calibri"/>
                <w:sz w:val="22"/>
              </w:rPr>
              <w:t>Citizenship and Governance</w:t>
            </w:r>
          </w:p>
          <w:p w:rsidR="001675DF" w:rsidRDefault="000E12EB">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0"/>
                  <w14:checkedState w14:val="2612" w14:font="MS Gothic"/>
                  <w14:uncheckedState w14:val="2610" w14:font="MS Gothic"/>
                </w14:checkbox>
              </w:sdtPr>
              <w:sdtEndPr/>
              <w:sdtContent>
                <w:r>
                  <w:rPr>
                    <w:rFonts w:ascii="Segoe UI Symbol" w:eastAsia="MS Gothic"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cs="Calibri"/>
                <w:sz w:val="22"/>
              </w:rPr>
              <w:t>Social Protection</w:t>
            </w:r>
          </w:p>
          <w:p w:rsidR="001675DF" w:rsidRDefault="000E12EB">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0"/>
                  <w14:checkedState w14:val="2612" w14:font="MS Gothic"/>
                  <w14:uncheckedState w14:val="2610" w14:font="MS Gothic"/>
                </w14:checkbox>
              </w:sdtPr>
              <w:sdtEndPr/>
              <w:sdtContent>
                <w:r>
                  <w:rPr>
                    <w:rFonts w:ascii="Segoe UI Symbol" w:eastAsia="MS Gothic"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cs="Calibri"/>
                <w:sz w:val="22"/>
              </w:rPr>
              <w:t>Humanitarian and protracted crisis</w:t>
            </w:r>
          </w:p>
          <w:p w:rsidR="001675DF" w:rsidRDefault="000E12EB">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1"/>
                  <w14:checkedState w14:val="2612" w14:font="MS Gothic"/>
                  <w14:uncheckedState w14:val="2610" w14:font="MS Gothic"/>
                </w14:checkbox>
              </w:sdtPr>
              <w:sdtEndPr/>
              <w:sdtContent>
                <w:r>
                  <w:rPr>
                    <w:rFonts w:ascii="MS Gothic" w:eastAsia="MS Gothic" w:hAnsi="MS Gothic" w:hint="eastAsia"/>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rPr>
              <w:t>Conflict resolution, peace and resilience</w:t>
            </w:r>
          </w:p>
          <w:p w:rsidR="001675DF" w:rsidRDefault="000E12EB">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0"/>
                  <w14:checkedState w14:val="2612" w14:font="MS Gothic"/>
                  <w14:uncheckedState w14:val="2610" w14:font="MS Gothic"/>
                </w14:checkbox>
              </w:sdtPr>
              <w:sdtEndPr/>
              <w:sdtContent>
                <w:r>
                  <w:rPr>
                    <w:rFonts w:ascii="Segoe UI Symbol" w:eastAsia="MS Gothic"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cs="Calibri"/>
                <w:sz w:val="22"/>
              </w:rPr>
              <w:t>Digital innovation</w:t>
            </w:r>
          </w:p>
          <w:p w:rsidR="001675DF" w:rsidRDefault="000E12EB">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EndPr/>
              <w:sdtContent>
                <w:r>
                  <w:rPr>
                    <w:rFonts w:ascii="Segoe UI Symbol" w:eastAsia="MS Gothic" w:hAnsi="Segoe UI Symbol" w:cs="Segoe UI Symbol"/>
                    <w:bCs/>
                    <w:sz w:val="22"/>
                    <w:lang w:val="en-GB" w:eastAsia="ja-JP" w:bidi="th-TH"/>
                  </w:rPr>
                  <w:t>☐</w:t>
                </w:r>
              </w:sdtContent>
            </w:sdt>
            <w:r>
              <w:rPr>
                <w:rFonts w:asciiTheme="majorHAnsi" w:eastAsia="MS Mincho" w:hAnsiTheme="majorHAnsi"/>
                <w:bCs/>
                <w:sz w:val="22"/>
                <w:lang w:val="en-GB" w:eastAsia="ja-JP" w:bidi="th-TH"/>
              </w:rPr>
              <w:t xml:space="preserve">  </w:t>
            </w:r>
            <w:r>
              <w:rPr>
                <w:rFonts w:asciiTheme="majorHAnsi" w:eastAsia="Calibri" w:hAnsiTheme="majorHAnsi" w:cs="Calibri"/>
                <w:sz w:val="22"/>
              </w:rPr>
              <w:t>Other sector (please specify) _________</w:t>
            </w:r>
          </w:p>
          <w:p w:rsidR="001675DF" w:rsidRDefault="001675DF">
            <w:pPr>
              <w:shd w:val="clear" w:color="auto" w:fill="FFFFFF"/>
              <w:spacing w:before="60" w:after="60"/>
              <w:rPr>
                <w:rFonts w:asciiTheme="majorHAnsi" w:eastAsia="MS Mincho" w:hAnsiTheme="majorHAnsi"/>
                <w:bCs/>
                <w:sz w:val="22"/>
                <w:lang w:val="en-GB" w:eastAsia="ja-JP" w:bidi="th-TH"/>
              </w:rPr>
            </w:pPr>
          </w:p>
        </w:tc>
      </w:tr>
      <w:tr w:rsidR="001675DF">
        <w:trPr>
          <w:trHeight w:val="369"/>
        </w:trPr>
        <w:tc>
          <w:tcPr>
            <w:tcW w:w="2484" w:type="pct"/>
          </w:tcPr>
          <w:p w:rsidR="001675DF" w:rsidRDefault="000E12EB">
            <w:pPr>
              <w:spacing w:before="200" w:after="200"/>
              <w:jc w:val="left"/>
              <w:rPr>
                <w:rFonts w:asciiTheme="majorHAnsi" w:eastAsia="Calibri" w:hAnsiTheme="majorHAnsi" w:cs="Calibri"/>
                <w:b/>
                <w:bCs/>
                <w:sz w:val="22"/>
              </w:rPr>
            </w:pPr>
            <w:r>
              <w:rPr>
                <w:rFonts w:asciiTheme="majorHAnsi" w:eastAsia="Calibri" w:hAnsiTheme="majorHAnsi" w:cs="Calibri"/>
                <w:sz w:val="22"/>
              </w:rPr>
              <w:lastRenderedPageBreak/>
              <w:t xml:space="preserve">Who are the </w:t>
            </w:r>
            <w:r>
              <w:rPr>
                <w:rFonts w:asciiTheme="majorHAnsi" w:eastAsia="Calibri" w:hAnsiTheme="majorHAnsi" w:cs="Calibri"/>
                <w:b/>
                <w:bCs/>
                <w:sz w:val="22"/>
              </w:rPr>
              <w:t>financial partners</w:t>
            </w:r>
            <w:r>
              <w:rPr>
                <w:rFonts w:asciiTheme="majorHAnsi" w:eastAsia="Calibri" w:hAnsiTheme="majorHAnsi" w:cs="Calibri"/>
                <w:sz w:val="22"/>
              </w:rPr>
              <w:t xml:space="preserve"> supporting this good practice, if applicable?</w:t>
            </w:r>
          </w:p>
        </w:tc>
        <w:tc>
          <w:tcPr>
            <w:tcW w:w="2516" w:type="pct"/>
          </w:tcPr>
          <w:p w:rsidR="001675DF" w:rsidRDefault="000E12EB">
            <w:pPr>
              <w:spacing w:before="200" w:after="200"/>
              <w:ind w:left="360" w:hanging="360"/>
              <w:jc w:val="left"/>
              <w:rPr>
                <w:rFonts w:asciiTheme="majorHAnsi" w:eastAsia="Calibri" w:hAnsiTheme="majorHAnsi" w:cs="Segoe UI Symbol"/>
                <w:sz w:val="22"/>
              </w:rPr>
            </w:pPr>
            <w:r>
              <w:rPr>
                <w:rFonts w:asciiTheme="majorHAnsi" w:eastAsia="Calibri" w:hAnsiTheme="majorHAnsi" w:cs="Segoe UI Symbol"/>
                <w:sz w:val="22"/>
              </w:rPr>
              <w:t xml:space="preserve">Tertiary Education Trust Fund (TETFUND), African Women in Agriculture and Rural Development (AWARD)  </w:t>
            </w:r>
          </w:p>
        </w:tc>
      </w:tr>
      <w:tr w:rsidR="001675DF">
        <w:trPr>
          <w:trHeight w:val="487"/>
        </w:trPr>
        <w:tc>
          <w:tcPr>
            <w:tcW w:w="5000" w:type="pct"/>
            <w:gridSpan w:val="2"/>
          </w:tcPr>
          <w:p w:rsidR="001675DF" w:rsidRDefault="000E12EB">
            <w:pPr>
              <w:pStyle w:val="ListParagraph"/>
              <w:numPr>
                <w:ilvl w:val="0"/>
                <w:numId w:val="3"/>
              </w:numPr>
              <w:shd w:val="clear" w:color="auto" w:fill="FFFFFF"/>
              <w:spacing w:before="60" w:after="60"/>
              <w:rPr>
                <w:rFonts w:asciiTheme="majorHAnsi" w:eastAsia="MS Mincho" w:hAnsiTheme="majorHAnsi"/>
                <w:bCs/>
                <w:sz w:val="22"/>
                <w:lang w:val="en-GB" w:eastAsia="ja-JP" w:bidi="th-TH"/>
              </w:rPr>
            </w:pPr>
            <w:r>
              <w:rPr>
                <w:rFonts w:asciiTheme="majorHAnsi" w:hAnsiTheme="majorHAnsi" w:cs="Calibri"/>
                <w:sz w:val="22"/>
                <w:lang w:val="en-GB" w:eastAsia="en-GB"/>
              </w:rPr>
              <w:t xml:space="preserve">In a few sentences, </w:t>
            </w:r>
            <w:r>
              <w:rPr>
                <w:rFonts w:asciiTheme="majorHAnsi" w:hAnsiTheme="majorHAnsi" w:cs="Calibri"/>
                <w:b/>
                <w:bCs/>
                <w:sz w:val="22"/>
                <w:lang w:val="en-GB" w:eastAsia="en-GB"/>
              </w:rPr>
              <w:t>summarize</w:t>
            </w:r>
            <w:r>
              <w:rPr>
                <w:rFonts w:asciiTheme="majorHAnsi" w:hAnsiTheme="majorHAnsi" w:cs="Calibri"/>
                <w:sz w:val="22"/>
                <w:lang w:val="en-GB" w:eastAsia="en-GB"/>
              </w:rPr>
              <w:t xml:space="preserve"> your community engagement good practice. </w:t>
            </w:r>
          </w:p>
          <w:p w:rsidR="001675DF" w:rsidRDefault="000E12EB">
            <w:pPr>
              <w:pStyle w:val="ListParagraph"/>
              <w:numPr>
                <w:ilvl w:val="0"/>
                <w:numId w:val="0"/>
              </w:numPr>
              <w:shd w:val="clear" w:color="auto" w:fill="FFFFFF"/>
              <w:spacing w:before="60" w:after="60"/>
              <w:ind w:left="360"/>
              <w:rPr>
                <w:rFonts w:asciiTheme="majorHAnsi" w:hAnsiTheme="majorHAnsi"/>
                <w:bCs/>
                <w:sz w:val="22"/>
                <w:lang w:val="en-GB" w:eastAsia="en-GB" w:bidi="th-TH"/>
              </w:rPr>
            </w:pPr>
            <w:r>
              <w:rPr>
                <w:rFonts w:asciiTheme="majorHAnsi" w:hAnsiTheme="majorHAnsi"/>
                <w:bCs/>
                <w:sz w:val="22"/>
                <w:lang w:val="en-GB" w:eastAsia="en-GB"/>
              </w:rPr>
              <w:lastRenderedPageBreak/>
              <w:t>Effe</w:t>
            </w:r>
            <w:r>
              <w:rPr>
                <w:rFonts w:asciiTheme="majorHAnsi" w:hAnsiTheme="majorHAnsi"/>
                <w:bCs/>
                <w:sz w:val="22"/>
                <w:lang w:val="en-GB" w:eastAsia="en-GB"/>
              </w:rPr>
              <w:t>ctive community engagement relies on creating awareness to mobilize resources and stakeholders. Building confidence is essential for fostering trust and collaboration. Engaging key actors through transparent feedback ensures accountability and project rele</w:t>
            </w:r>
            <w:r>
              <w:rPr>
                <w:rFonts w:asciiTheme="majorHAnsi" w:hAnsiTheme="majorHAnsi"/>
                <w:bCs/>
                <w:sz w:val="22"/>
                <w:lang w:val="en-GB" w:eastAsia="en-GB"/>
              </w:rPr>
              <w:t>vance. Finally, sustainability is achieved by maintaining continuous and inclusive engagement efforts.</w:t>
            </w:r>
          </w:p>
        </w:tc>
      </w:tr>
      <w:tr w:rsidR="001675DF">
        <w:trPr>
          <w:trHeight w:val="369"/>
        </w:trPr>
        <w:tc>
          <w:tcPr>
            <w:tcW w:w="5000" w:type="pct"/>
            <w:gridSpan w:val="2"/>
          </w:tcPr>
          <w:p w:rsidR="001675DF" w:rsidRDefault="000E12EB">
            <w:pPr>
              <w:pStyle w:val="ListParagraph"/>
              <w:numPr>
                <w:ilvl w:val="0"/>
                <w:numId w:val="3"/>
              </w:numPr>
              <w:shd w:val="clear" w:color="auto" w:fill="FFFFFF"/>
              <w:spacing w:before="60" w:after="60"/>
              <w:rPr>
                <w:rFonts w:asciiTheme="majorHAnsi" w:hAnsiTheme="majorHAnsi"/>
                <w:sz w:val="22"/>
              </w:rPr>
            </w:pPr>
            <w:r>
              <w:rPr>
                <w:rFonts w:asciiTheme="majorHAnsi" w:hAnsiTheme="majorHAnsi" w:cs="Calibri"/>
                <w:sz w:val="22"/>
                <w:lang w:val="en-GB" w:eastAsia="en-GB"/>
              </w:rPr>
              <w:lastRenderedPageBreak/>
              <w:t xml:space="preserve">What </w:t>
            </w:r>
            <w:r>
              <w:rPr>
                <w:rFonts w:asciiTheme="majorHAnsi" w:hAnsiTheme="majorHAnsi" w:cs="Calibri"/>
                <w:b/>
                <w:bCs/>
                <w:sz w:val="22"/>
                <w:lang w:val="en-GB" w:eastAsia="en-GB"/>
              </w:rPr>
              <w:t>problem(s)</w:t>
            </w:r>
            <w:r>
              <w:rPr>
                <w:rFonts w:asciiTheme="majorHAnsi" w:hAnsiTheme="majorHAnsi" w:cs="Calibri"/>
                <w:sz w:val="22"/>
                <w:lang w:val="en-GB" w:eastAsia="en-GB"/>
              </w:rPr>
              <w:t xml:space="preserve"> or </w:t>
            </w:r>
            <w:r>
              <w:rPr>
                <w:rFonts w:asciiTheme="majorHAnsi" w:hAnsiTheme="majorHAnsi" w:cs="Calibri"/>
                <w:b/>
                <w:bCs/>
                <w:sz w:val="22"/>
                <w:lang w:val="en-GB" w:eastAsia="en-GB"/>
              </w:rPr>
              <w:t>challenge(s)</w:t>
            </w:r>
            <w:r>
              <w:rPr>
                <w:rFonts w:asciiTheme="majorHAnsi" w:hAnsiTheme="majorHAnsi" w:cs="Calibri"/>
                <w:sz w:val="22"/>
                <w:lang w:val="en-GB" w:eastAsia="en-GB"/>
              </w:rPr>
              <w:t xml:space="preserve"> does your good practice aim to address </w:t>
            </w:r>
            <w:r>
              <w:rPr>
                <w:rFonts w:asciiTheme="majorHAnsi" w:hAnsiTheme="majorHAnsi" w:cs="Calibri"/>
                <w:sz w:val="22"/>
                <w:lang w:eastAsia="en-GB"/>
              </w:rPr>
              <w:t>through community engagement? ‘</w:t>
            </w:r>
          </w:p>
          <w:p w:rsidR="001675DF" w:rsidRDefault="000E12EB">
            <w:pPr>
              <w:pStyle w:val="ListParagraph"/>
              <w:numPr>
                <w:ilvl w:val="0"/>
                <w:numId w:val="0"/>
              </w:numPr>
              <w:shd w:val="clear" w:color="auto" w:fill="FFFFFF"/>
              <w:spacing w:before="60" w:after="60"/>
              <w:ind w:left="720"/>
              <w:rPr>
                <w:rFonts w:asciiTheme="majorHAnsi" w:hAnsiTheme="majorHAnsi" w:cs="Calibri"/>
                <w:sz w:val="22"/>
              </w:rPr>
            </w:pPr>
            <w:r>
              <w:rPr>
                <w:rFonts w:asciiTheme="majorHAnsi" w:hAnsiTheme="majorHAnsi" w:cs="Calibri"/>
                <w:sz w:val="22"/>
              </w:rPr>
              <w:t xml:space="preserve">The good Practices listed for community engagement aim to address problems and challenges are; </w:t>
            </w:r>
          </w:p>
          <w:p w:rsidR="001675DF" w:rsidRDefault="000E12EB">
            <w:pPr>
              <w:pStyle w:val="ListParagraph"/>
              <w:numPr>
                <w:ilvl w:val="0"/>
                <w:numId w:val="4"/>
              </w:numPr>
              <w:shd w:val="clear" w:color="auto" w:fill="FFFFFF"/>
              <w:spacing w:before="60" w:after="60"/>
              <w:rPr>
                <w:rFonts w:asciiTheme="majorHAnsi" w:hAnsiTheme="majorHAnsi" w:cs="Calibri"/>
                <w:sz w:val="22"/>
              </w:rPr>
            </w:pPr>
            <w:r>
              <w:rPr>
                <w:rFonts w:asciiTheme="majorHAnsi" w:hAnsiTheme="majorHAnsi" w:cs="Calibri"/>
                <w:sz w:val="22"/>
              </w:rPr>
              <w:t xml:space="preserve">Barriers to effective communication </w:t>
            </w:r>
          </w:p>
          <w:p w:rsidR="001675DF" w:rsidRDefault="000E12EB">
            <w:pPr>
              <w:pStyle w:val="ListParagraph"/>
              <w:numPr>
                <w:ilvl w:val="0"/>
                <w:numId w:val="4"/>
              </w:numPr>
              <w:shd w:val="clear" w:color="auto" w:fill="FFFFFF"/>
              <w:spacing w:before="60" w:after="60"/>
              <w:rPr>
                <w:rFonts w:asciiTheme="majorHAnsi" w:hAnsiTheme="majorHAnsi" w:cs="Calibri"/>
                <w:sz w:val="22"/>
              </w:rPr>
            </w:pPr>
            <w:r>
              <w:rPr>
                <w:rFonts w:asciiTheme="majorHAnsi" w:hAnsiTheme="majorHAnsi"/>
                <w:sz w:val="22"/>
              </w:rPr>
              <w:t xml:space="preserve">Innovation adoption rents </w:t>
            </w:r>
          </w:p>
          <w:p w:rsidR="001675DF" w:rsidRDefault="000E12EB">
            <w:pPr>
              <w:pStyle w:val="ListParagraph"/>
              <w:numPr>
                <w:ilvl w:val="0"/>
                <w:numId w:val="4"/>
              </w:numPr>
              <w:shd w:val="clear" w:color="auto" w:fill="FFFFFF"/>
              <w:spacing w:before="60" w:after="60"/>
              <w:rPr>
                <w:rFonts w:asciiTheme="majorHAnsi" w:hAnsiTheme="majorHAnsi" w:cs="Calibri"/>
                <w:sz w:val="22"/>
              </w:rPr>
            </w:pPr>
            <w:r>
              <w:rPr>
                <w:rFonts w:asciiTheme="majorHAnsi" w:hAnsiTheme="majorHAnsi"/>
                <w:sz w:val="22"/>
              </w:rPr>
              <w:t xml:space="preserve">Lack of appropriate participation </w:t>
            </w:r>
          </w:p>
          <w:p w:rsidR="001675DF" w:rsidRDefault="000E12EB">
            <w:pPr>
              <w:pStyle w:val="ListParagraph"/>
              <w:numPr>
                <w:ilvl w:val="0"/>
                <w:numId w:val="4"/>
              </w:numPr>
              <w:shd w:val="clear" w:color="auto" w:fill="FFFFFF"/>
              <w:spacing w:before="60" w:after="60"/>
              <w:rPr>
                <w:rFonts w:asciiTheme="majorHAnsi" w:hAnsiTheme="majorHAnsi" w:cs="Calibri"/>
                <w:sz w:val="22"/>
              </w:rPr>
            </w:pPr>
            <w:r>
              <w:rPr>
                <w:rFonts w:asciiTheme="majorHAnsi" w:hAnsiTheme="majorHAnsi"/>
                <w:sz w:val="22"/>
              </w:rPr>
              <w:t xml:space="preserve">Poor resources mobilization </w:t>
            </w:r>
          </w:p>
          <w:p w:rsidR="001675DF" w:rsidRDefault="000E12EB">
            <w:pPr>
              <w:pStyle w:val="ListParagraph"/>
              <w:numPr>
                <w:ilvl w:val="0"/>
                <w:numId w:val="4"/>
              </w:numPr>
              <w:shd w:val="clear" w:color="auto" w:fill="FFFFFF"/>
              <w:spacing w:before="60" w:after="60"/>
              <w:rPr>
                <w:rFonts w:asciiTheme="majorHAnsi" w:hAnsiTheme="majorHAnsi" w:cs="Calibri"/>
                <w:sz w:val="22"/>
              </w:rPr>
            </w:pPr>
            <w:r>
              <w:rPr>
                <w:rFonts w:asciiTheme="majorHAnsi" w:hAnsiTheme="majorHAnsi" w:cs="Calibri"/>
                <w:sz w:val="22"/>
              </w:rPr>
              <w:t xml:space="preserve">Poor sustainability of </w:t>
            </w:r>
            <w:r>
              <w:rPr>
                <w:rFonts w:asciiTheme="majorHAnsi" w:hAnsiTheme="majorHAnsi" w:cs="Calibri"/>
                <w:sz w:val="22"/>
              </w:rPr>
              <w:t>Initiatives</w:t>
            </w:r>
          </w:p>
          <w:p w:rsidR="001675DF" w:rsidRDefault="000E12EB">
            <w:pPr>
              <w:pStyle w:val="ListParagraph"/>
              <w:numPr>
                <w:ilvl w:val="0"/>
                <w:numId w:val="0"/>
              </w:numPr>
              <w:shd w:val="clear" w:color="auto" w:fill="FFFFFF"/>
              <w:spacing w:before="60" w:after="60"/>
              <w:ind w:left="1440"/>
              <w:rPr>
                <w:rFonts w:asciiTheme="majorHAnsi" w:hAnsiTheme="majorHAnsi" w:cs="Calibri"/>
                <w:sz w:val="22"/>
              </w:rPr>
            </w:pPr>
            <w:r>
              <w:rPr>
                <w:rFonts w:asciiTheme="majorHAnsi" w:hAnsiTheme="majorHAnsi" w:cs="Calibri"/>
                <w:sz w:val="22"/>
              </w:rPr>
              <w:t xml:space="preserve"> </w:t>
            </w:r>
          </w:p>
          <w:p w:rsidR="001675DF" w:rsidRDefault="001675DF">
            <w:pPr>
              <w:pStyle w:val="ListParagraph"/>
              <w:numPr>
                <w:ilvl w:val="0"/>
                <w:numId w:val="0"/>
              </w:numPr>
              <w:shd w:val="clear" w:color="auto" w:fill="FFFFFF"/>
              <w:spacing w:before="60" w:after="60"/>
              <w:ind w:left="720"/>
              <w:rPr>
                <w:rFonts w:asciiTheme="majorHAnsi" w:hAnsiTheme="majorHAnsi"/>
                <w:sz w:val="22"/>
              </w:rPr>
            </w:pPr>
          </w:p>
          <w:p w:rsidR="001675DF" w:rsidRDefault="001675DF">
            <w:pPr>
              <w:pStyle w:val="ListParagraph"/>
              <w:numPr>
                <w:ilvl w:val="0"/>
                <w:numId w:val="0"/>
              </w:numPr>
              <w:shd w:val="clear" w:color="auto" w:fill="FFFFFF"/>
              <w:spacing w:before="60" w:after="60"/>
              <w:ind w:left="720"/>
              <w:rPr>
                <w:rFonts w:asciiTheme="majorHAnsi" w:hAnsiTheme="majorHAnsi"/>
                <w:sz w:val="22"/>
              </w:rPr>
            </w:pPr>
          </w:p>
        </w:tc>
      </w:tr>
      <w:tr w:rsidR="001675DF">
        <w:trPr>
          <w:trHeight w:val="369"/>
        </w:trPr>
        <w:tc>
          <w:tcPr>
            <w:tcW w:w="5000" w:type="pct"/>
            <w:gridSpan w:val="2"/>
          </w:tcPr>
          <w:p w:rsidR="001675DF" w:rsidRDefault="000E12EB">
            <w:pPr>
              <w:pStyle w:val="ListParagraph"/>
              <w:numPr>
                <w:ilvl w:val="0"/>
                <w:numId w:val="3"/>
              </w:numPr>
              <w:shd w:val="clear" w:color="auto" w:fill="FFFFFF"/>
              <w:spacing w:before="60" w:after="60"/>
              <w:rPr>
                <w:rFonts w:asciiTheme="majorHAnsi" w:hAnsiTheme="majorHAnsi"/>
                <w:sz w:val="22"/>
              </w:rPr>
            </w:pPr>
            <w:r>
              <w:rPr>
                <w:rFonts w:asciiTheme="majorHAnsi" w:hAnsiTheme="majorHAnsi" w:cs="Calibri"/>
                <w:sz w:val="22"/>
                <w:lang w:val="en-GB" w:eastAsia="en-GB"/>
              </w:rPr>
              <w:t xml:space="preserve">Describe your </w:t>
            </w:r>
            <w:r>
              <w:rPr>
                <w:rFonts w:asciiTheme="majorHAnsi" w:hAnsiTheme="majorHAnsi" w:cs="Calibri"/>
                <w:b/>
                <w:bCs/>
                <w:sz w:val="22"/>
                <w:lang w:val="en-GB" w:eastAsia="en-GB"/>
              </w:rPr>
              <w:t xml:space="preserve">good practice </w:t>
            </w:r>
            <w:r>
              <w:rPr>
                <w:rFonts w:asciiTheme="majorHAnsi" w:hAnsiTheme="majorHAnsi" w:cs="Calibri"/>
                <w:sz w:val="22"/>
                <w:lang w:val="en-GB" w:eastAsia="en-GB"/>
              </w:rPr>
              <w:t xml:space="preserve">in more detail. </w:t>
            </w:r>
            <w:r>
              <w:rPr>
                <w:rFonts w:asciiTheme="majorHAnsi" w:hAnsiTheme="majorHAnsi" w:cs="Calibri"/>
                <w:sz w:val="22"/>
                <w:lang w:eastAsia="en-GB"/>
              </w:rPr>
              <w:t xml:space="preserve">Include the main </w:t>
            </w:r>
            <w:r>
              <w:rPr>
                <w:rFonts w:asciiTheme="majorHAnsi" w:hAnsiTheme="majorHAnsi" w:cs="Calibri"/>
                <w:b/>
                <w:bCs/>
                <w:sz w:val="22"/>
                <w:lang w:eastAsia="en-GB"/>
              </w:rPr>
              <w:t>guiding principles</w:t>
            </w:r>
            <w:r>
              <w:rPr>
                <w:rFonts w:asciiTheme="majorHAnsi" w:hAnsiTheme="majorHAnsi" w:cs="Calibri"/>
                <w:sz w:val="22"/>
                <w:lang w:eastAsia="en-GB"/>
              </w:rPr>
              <w:t xml:space="preserve">, the </w:t>
            </w:r>
            <w:r>
              <w:rPr>
                <w:rFonts w:asciiTheme="majorHAnsi" w:hAnsiTheme="majorHAnsi" w:cs="Calibri"/>
                <w:b/>
                <w:bCs/>
                <w:sz w:val="22"/>
                <w:lang w:eastAsia="en-GB"/>
              </w:rPr>
              <w:t>desired changes or outcomes</w:t>
            </w:r>
            <w:r>
              <w:rPr>
                <w:rFonts w:asciiTheme="majorHAnsi" w:hAnsiTheme="majorHAnsi" w:cs="Calibri"/>
                <w:sz w:val="22"/>
                <w:lang w:eastAsia="en-GB"/>
              </w:rPr>
              <w:t xml:space="preserve"> you aim to achieve (</w:t>
            </w:r>
            <w:r>
              <w:rPr>
                <w:rFonts w:asciiTheme="majorHAnsi" w:hAnsiTheme="majorHAnsi" w:cs="Calibri"/>
                <w:i/>
                <w:iCs/>
                <w:sz w:val="22"/>
                <w:lang w:eastAsia="en-GB"/>
              </w:rPr>
              <w:t>Theory of Change</w:t>
            </w:r>
            <w:r>
              <w:rPr>
                <w:rFonts w:asciiTheme="majorHAnsi" w:hAnsiTheme="majorHAnsi" w:cs="Calibri"/>
                <w:sz w:val="22"/>
                <w:lang w:eastAsia="en-GB"/>
              </w:rPr>
              <w:t xml:space="preserve">), and the </w:t>
            </w:r>
            <w:r>
              <w:rPr>
                <w:rFonts w:asciiTheme="majorHAnsi" w:hAnsiTheme="majorHAnsi" w:cs="Calibri"/>
                <w:b/>
                <w:bCs/>
                <w:sz w:val="22"/>
                <w:lang w:eastAsia="en-GB"/>
              </w:rPr>
              <w:t xml:space="preserve">key phases of implementation. </w:t>
            </w:r>
          </w:p>
          <w:p w:rsidR="001675DF" w:rsidRDefault="000E12EB">
            <w:pPr>
              <w:shd w:val="clear" w:color="auto" w:fill="FFFFFF"/>
              <w:spacing w:before="60" w:after="60"/>
              <w:ind w:left="360"/>
              <w:rPr>
                <w:rFonts w:asciiTheme="majorHAnsi" w:hAnsiTheme="majorHAnsi"/>
                <w:sz w:val="22"/>
              </w:rPr>
            </w:pPr>
            <w:r>
              <w:rPr>
                <w:rFonts w:asciiTheme="majorHAnsi" w:hAnsiTheme="majorHAnsi"/>
                <w:sz w:val="22"/>
              </w:rPr>
              <w:t xml:space="preserve">This good practice emphasizes sustainable </w:t>
            </w:r>
            <w:r>
              <w:rPr>
                <w:rFonts w:asciiTheme="majorHAnsi" w:hAnsiTheme="majorHAnsi"/>
                <w:sz w:val="22"/>
              </w:rPr>
              <w:t>community engagement built on inclusivity, empowerment, and accountability. It seeks to foster resilience, active participation in decision-making, and the inclusion of marginalized voices.</w:t>
            </w:r>
          </w:p>
          <w:p w:rsidR="001675DF" w:rsidRDefault="001675DF">
            <w:pPr>
              <w:shd w:val="clear" w:color="auto" w:fill="FFFFFF"/>
              <w:spacing w:before="60" w:after="60"/>
              <w:ind w:left="360"/>
              <w:rPr>
                <w:rFonts w:asciiTheme="majorHAnsi" w:hAnsiTheme="majorHAnsi"/>
                <w:sz w:val="22"/>
              </w:rPr>
            </w:pPr>
          </w:p>
          <w:p w:rsidR="001675DF" w:rsidRDefault="000E12EB">
            <w:pPr>
              <w:shd w:val="clear" w:color="auto" w:fill="FFFFFF"/>
              <w:spacing w:before="60" w:after="60"/>
              <w:ind w:left="360"/>
              <w:rPr>
                <w:rFonts w:asciiTheme="majorHAnsi" w:hAnsiTheme="majorHAnsi"/>
                <w:sz w:val="22"/>
              </w:rPr>
            </w:pPr>
            <w:r>
              <w:rPr>
                <w:rFonts w:asciiTheme="majorHAnsi" w:hAnsiTheme="majorHAnsi"/>
                <w:sz w:val="22"/>
              </w:rPr>
              <w:t>Desired Outcomes:</w:t>
            </w:r>
          </w:p>
          <w:p w:rsidR="001675DF" w:rsidRDefault="000E12EB">
            <w:pPr>
              <w:shd w:val="clear" w:color="auto" w:fill="FFFFFF"/>
              <w:spacing w:before="60" w:after="60"/>
              <w:ind w:left="360"/>
              <w:rPr>
                <w:rFonts w:asciiTheme="majorHAnsi" w:hAnsiTheme="majorHAnsi"/>
                <w:sz w:val="22"/>
              </w:rPr>
            </w:pPr>
            <w:r>
              <w:rPr>
                <w:rFonts w:asciiTheme="majorHAnsi" w:hAnsiTheme="majorHAnsi"/>
                <w:sz w:val="22"/>
              </w:rPr>
              <w:t>Promote gender equality.</w:t>
            </w:r>
          </w:p>
          <w:p w:rsidR="001675DF" w:rsidRDefault="000E12EB">
            <w:pPr>
              <w:shd w:val="clear" w:color="auto" w:fill="FFFFFF"/>
              <w:spacing w:before="60" w:after="60"/>
              <w:ind w:left="360"/>
              <w:rPr>
                <w:rFonts w:asciiTheme="majorHAnsi" w:hAnsiTheme="majorHAnsi"/>
                <w:sz w:val="22"/>
              </w:rPr>
            </w:pPr>
            <w:r>
              <w:rPr>
                <w:rFonts w:asciiTheme="majorHAnsi" w:hAnsiTheme="majorHAnsi"/>
                <w:sz w:val="22"/>
              </w:rPr>
              <w:t>Amplify representation</w:t>
            </w:r>
            <w:r>
              <w:rPr>
                <w:rFonts w:asciiTheme="majorHAnsi" w:hAnsiTheme="majorHAnsi"/>
                <w:sz w:val="22"/>
              </w:rPr>
              <w:t xml:space="preserve"> of minority groups.</w:t>
            </w:r>
          </w:p>
          <w:p w:rsidR="001675DF" w:rsidRDefault="000E12EB">
            <w:pPr>
              <w:shd w:val="clear" w:color="auto" w:fill="FFFFFF"/>
              <w:spacing w:before="60" w:after="60"/>
              <w:ind w:left="360"/>
              <w:rPr>
                <w:rFonts w:asciiTheme="majorHAnsi" w:hAnsiTheme="majorHAnsi"/>
                <w:sz w:val="22"/>
              </w:rPr>
            </w:pPr>
            <w:r>
              <w:rPr>
                <w:rFonts w:asciiTheme="majorHAnsi" w:hAnsiTheme="majorHAnsi"/>
                <w:sz w:val="22"/>
              </w:rPr>
              <w:t>Strengthen social cohesion.</w:t>
            </w:r>
          </w:p>
          <w:p w:rsidR="001675DF" w:rsidRDefault="000E12EB">
            <w:pPr>
              <w:shd w:val="clear" w:color="auto" w:fill="FFFFFF"/>
              <w:spacing w:before="60" w:after="60"/>
              <w:ind w:left="360"/>
              <w:rPr>
                <w:rFonts w:asciiTheme="majorHAnsi" w:hAnsiTheme="majorHAnsi"/>
                <w:sz w:val="22"/>
              </w:rPr>
            </w:pPr>
            <w:r>
              <w:rPr>
                <w:rFonts w:asciiTheme="majorHAnsi" w:hAnsiTheme="majorHAnsi"/>
                <w:sz w:val="22"/>
              </w:rPr>
              <w:t>Establish feedback systems to adapt to challenges.</w:t>
            </w:r>
          </w:p>
          <w:p w:rsidR="001675DF" w:rsidRDefault="001675DF">
            <w:pPr>
              <w:shd w:val="clear" w:color="auto" w:fill="FFFFFF"/>
              <w:spacing w:before="60" w:after="60"/>
              <w:ind w:left="360"/>
              <w:rPr>
                <w:rFonts w:asciiTheme="majorHAnsi" w:hAnsiTheme="majorHAnsi"/>
                <w:sz w:val="22"/>
              </w:rPr>
            </w:pPr>
          </w:p>
          <w:p w:rsidR="001675DF" w:rsidRDefault="000E12EB">
            <w:pPr>
              <w:shd w:val="clear" w:color="auto" w:fill="FFFFFF"/>
              <w:spacing w:before="60" w:after="60"/>
              <w:ind w:left="360"/>
              <w:rPr>
                <w:rFonts w:asciiTheme="majorHAnsi" w:hAnsiTheme="majorHAnsi"/>
                <w:sz w:val="22"/>
              </w:rPr>
            </w:pPr>
            <w:r>
              <w:rPr>
                <w:rFonts w:asciiTheme="majorHAnsi" w:hAnsiTheme="majorHAnsi"/>
                <w:sz w:val="22"/>
              </w:rPr>
              <w:t>Implementation Phases:</w:t>
            </w:r>
          </w:p>
          <w:p w:rsidR="001675DF" w:rsidRDefault="001675DF">
            <w:pPr>
              <w:shd w:val="clear" w:color="auto" w:fill="FFFFFF"/>
              <w:spacing w:before="60" w:after="60"/>
              <w:ind w:left="360"/>
              <w:rPr>
                <w:rFonts w:asciiTheme="majorHAnsi" w:hAnsiTheme="majorHAnsi"/>
                <w:sz w:val="22"/>
              </w:rPr>
            </w:pPr>
          </w:p>
          <w:p w:rsidR="001675DF" w:rsidRDefault="000E12EB">
            <w:pPr>
              <w:shd w:val="clear" w:color="auto" w:fill="FFFFFF"/>
              <w:spacing w:before="60" w:after="60"/>
              <w:ind w:left="360"/>
              <w:rPr>
                <w:rFonts w:asciiTheme="majorHAnsi" w:hAnsiTheme="majorHAnsi"/>
                <w:sz w:val="22"/>
              </w:rPr>
            </w:pPr>
            <w:r>
              <w:rPr>
                <w:rFonts w:asciiTheme="majorHAnsi" w:hAnsiTheme="majorHAnsi"/>
                <w:sz w:val="22"/>
              </w:rPr>
              <w:t>1. Planning and Assessment: Identify community needs and set objectives through stakeholder engagement.</w:t>
            </w:r>
          </w:p>
          <w:p w:rsidR="001675DF" w:rsidRDefault="001675DF">
            <w:pPr>
              <w:shd w:val="clear" w:color="auto" w:fill="FFFFFF"/>
              <w:spacing w:before="60" w:after="60"/>
              <w:rPr>
                <w:rFonts w:asciiTheme="majorHAnsi" w:hAnsiTheme="majorHAnsi"/>
                <w:sz w:val="22"/>
              </w:rPr>
            </w:pPr>
          </w:p>
          <w:p w:rsidR="001675DF" w:rsidRDefault="000E12EB">
            <w:pPr>
              <w:shd w:val="clear" w:color="auto" w:fill="FFFFFF"/>
              <w:spacing w:before="60" w:after="60"/>
              <w:ind w:left="360"/>
              <w:rPr>
                <w:rFonts w:asciiTheme="majorHAnsi" w:hAnsiTheme="majorHAnsi"/>
                <w:sz w:val="22"/>
              </w:rPr>
            </w:pPr>
            <w:r>
              <w:rPr>
                <w:rFonts w:asciiTheme="majorHAnsi" w:hAnsiTheme="majorHAnsi"/>
                <w:sz w:val="22"/>
              </w:rPr>
              <w:t xml:space="preserve">2. Capacity Building: </w:t>
            </w:r>
            <w:r>
              <w:rPr>
                <w:rFonts w:asciiTheme="majorHAnsi" w:hAnsiTheme="majorHAnsi"/>
                <w:sz w:val="22"/>
              </w:rPr>
              <w:t>Provide training to develop leadership and management skills among community members.</w:t>
            </w:r>
          </w:p>
          <w:p w:rsidR="001675DF" w:rsidRDefault="001675DF">
            <w:pPr>
              <w:shd w:val="clear" w:color="auto" w:fill="FFFFFF"/>
              <w:spacing w:before="60" w:after="60"/>
              <w:rPr>
                <w:rFonts w:asciiTheme="majorHAnsi" w:hAnsiTheme="majorHAnsi"/>
                <w:sz w:val="22"/>
              </w:rPr>
            </w:pPr>
          </w:p>
          <w:p w:rsidR="001675DF" w:rsidRDefault="000E12EB">
            <w:pPr>
              <w:shd w:val="clear" w:color="auto" w:fill="FFFFFF"/>
              <w:spacing w:before="60" w:after="60"/>
              <w:ind w:left="360"/>
              <w:rPr>
                <w:rFonts w:asciiTheme="majorHAnsi" w:hAnsiTheme="majorHAnsi"/>
                <w:sz w:val="22"/>
              </w:rPr>
            </w:pPr>
            <w:r>
              <w:rPr>
                <w:rFonts w:asciiTheme="majorHAnsi" w:hAnsiTheme="majorHAnsi"/>
                <w:sz w:val="22"/>
              </w:rPr>
              <w:t>3. Action and Participation: Implement activities that prioritize inclusive involvement.</w:t>
            </w:r>
          </w:p>
          <w:p w:rsidR="001675DF" w:rsidRDefault="001675DF">
            <w:pPr>
              <w:shd w:val="clear" w:color="auto" w:fill="FFFFFF"/>
              <w:spacing w:before="60" w:after="60"/>
              <w:ind w:left="360"/>
              <w:rPr>
                <w:rFonts w:asciiTheme="majorHAnsi" w:hAnsiTheme="majorHAnsi"/>
                <w:sz w:val="22"/>
              </w:rPr>
            </w:pPr>
          </w:p>
          <w:p w:rsidR="001675DF" w:rsidRDefault="001675DF">
            <w:pPr>
              <w:shd w:val="clear" w:color="auto" w:fill="FFFFFF"/>
              <w:spacing w:before="60" w:after="60"/>
              <w:ind w:left="360"/>
              <w:rPr>
                <w:rFonts w:asciiTheme="majorHAnsi" w:hAnsiTheme="majorHAnsi"/>
                <w:sz w:val="22"/>
              </w:rPr>
            </w:pPr>
          </w:p>
          <w:p w:rsidR="001675DF" w:rsidRDefault="000E12EB">
            <w:pPr>
              <w:shd w:val="clear" w:color="auto" w:fill="FFFFFF"/>
              <w:spacing w:before="60" w:after="60"/>
              <w:ind w:left="360"/>
              <w:rPr>
                <w:rFonts w:asciiTheme="majorHAnsi" w:hAnsiTheme="majorHAnsi"/>
                <w:sz w:val="22"/>
              </w:rPr>
            </w:pPr>
            <w:r>
              <w:rPr>
                <w:rFonts w:asciiTheme="majorHAnsi" w:hAnsiTheme="majorHAnsi"/>
                <w:sz w:val="22"/>
              </w:rPr>
              <w:t>4. Monitoring and Feedback: Continuously evaluate progress and adjust based on</w:t>
            </w:r>
            <w:r>
              <w:rPr>
                <w:rFonts w:asciiTheme="majorHAnsi" w:hAnsiTheme="majorHAnsi"/>
                <w:sz w:val="22"/>
              </w:rPr>
              <w:t xml:space="preserve"> community input.</w:t>
            </w:r>
          </w:p>
        </w:tc>
      </w:tr>
      <w:tr w:rsidR="001675DF">
        <w:trPr>
          <w:trHeight w:val="369"/>
        </w:trPr>
        <w:tc>
          <w:tcPr>
            <w:tcW w:w="5000" w:type="pct"/>
            <w:gridSpan w:val="2"/>
          </w:tcPr>
          <w:p w:rsidR="001675DF" w:rsidRDefault="000E12EB">
            <w:pPr>
              <w:pStyle w:val="ListParagraph"/>
              <w:numPr>
                <w:ilvl w:val="0"/>
                <w:numId w:val="3"/>
              </w:numPr>
              <w:shd w:val="clear" w:color="auto" w:fill="FFFFFF"/>
              <w:spacing w:before="60" w:after="60"/>
              <w:rPr>
                <w:rFonts w:asciiTheme="majorHAnsi" w:hAnsiTheme="majorHAnsi" w:cs="Calibri"/>
                <w:b/>
                <w:bCs/>
                <w:sz w:val="22"/>
                <w:lang w:val="en-GB" w:eastAsia="en-GB"/>
              </w:rPr>
            </w:pPr>
            <w:r>
              <w:rPr>
                <w:rFonts w:asciiTheme="majorHAnsi" w:hAnsiTheme="majorHAnsi" w:cs="Calibri"/>
                <w:sz w:val="22"/>
                <w:lang w:val="en-GB" w:eastAsia="en-GB"/>
              </w:rPr>
              <w:lastRenderedPageBreak/>
              <w:t xml:space="preserve">Who are the </w:t>
            </w:r>
            <w:r>
              <w:rPr>
                <w:rFonts w:asciiTheme="majorHAnsi" w:hAnsiTheme="majorHAnsi" w:cs="Calibri"/>
                <w:b/>
                <w:bCs/>
                <w:sz w:val="22"/>
                <w:lang w:val="en-GB" w:eastAsia="en-GB"/>
              </w:rPr>
              <w:t>key actors and stakeholders</w:t>
            </w:r>
            <w:r>
              <w:rPr>
                <w:rFonts w:asciiTheme="majorHAnsi" w:hAnsiTheme="majorHAnsi" w:cs="Calibri"/>
                <w:sz w:val="22"/>
                <w:lang w:val="en-GB" w:eastAsia="en-GB"/>
              </w:rPr>
              <w:t xml:space="preserve"> involved in the design and implementation of the good practice, and what are their respective roles? </w:t>
            </w:r>
            <w:r>
              <w:rPr>
                <w:rFonts w:asciiTheme="majorHAnsi" w:hAnsiTheme="majorHAnsi" w:cs="Calibri"/>
                <w:i/>
                <w:iCs/>
                <w:sz w:val="22"/>
                <w:lang w:val="en-GB" w:eastAsia="en-GB"/>
              </w:rPr>
              <w:t xml:space="preserve">Consider local partners, government, local authorities, community radios, civil society, </w:t>
            </w:r>
            <w:r>
              <w:rPr>
                <w:rFonts w:asciiTheme="majorHAnsi" w:hAnsiTheme="majorHAnsi" w:cs="Calibri"/>
                <w:i/>
                <w:iCs/>
                <w:sz w:val="22"/>
                <w:lang w:val="en-GB" w:eastAsia="en-GB"/>
              </w:rPr>
              <w:t>research, the private sector, etc.</w:t>
            </w:r>
          </w:p>
          <w:p w:rsidR="001675DF" w:rsidRDefault="000E12EB">
            <w:pPr>
              <w:pStyle w:val="ListParagraph"/>
              <w:numPr>
                <w:ilvl w:val="0"/>
                <w:numId w:val="0"/>
              </w:numPr>
              <w:shd w:val="clear" w:color="auto" w:fill="FFFFFF"/>
              <w:spacing w:before="60" w:after="60"/>
              <w:ind w:left="720"/>
              <w:rPr>
                <w:rFonts w:asciiTheme="majorHAnsi" w:hAnsiTheme="majorHAnsi" w:cs="Calibri"/>
                <w:sz w:val="22"/>
                <w:lang w:val="en-GB" w:eastAsia="en-GB"/>
              </w:rPr>
            </w:pPr>
            <w:r>
              <w:rPr>
                <w:rFonts w:asciiTheme="majorHAnsi" w:hAnsiTheme="majorHAnsi" w:cs="Calibri"/>
                <w:sz w:val="22"/>
                <w:lang w:val="en-GB" w:eastAsia="en-GB"/>
              </w:rPr>
              <w:t xml:space="preserve">In the design and implementation of community engagement of the good practices, several key actors and stakeholders are involved and each played important roles.  Some of the key actors/ stakeholders and their roles are </w:t>
            </w:r>
            <w:r>
              <w:rPr>
                <w:rFonts w:asciiTheme="majorHAnsi" w:hAnsiTheme="majorHAnsi" w:cs="Calibri"/>
                <w:sz w:val="22"/>
                <w:lang w:val="en-GB" w:eastAsia="en-GB"/>
              </w:rPr>
              <w:t>defined here;</w:t>
            </w:r>
          </w:p>
          <w:p w:rsidR="001675DF" w:rsidRDefault="000E12EB">
            <w:pPr>
              <w:pStyle w:val="ListParagraph"/>
              <w:numPr>
                <w:ilvl w:val="0"/>
                <w:numId w:val="0"/>
              </w:numPr>
              <w:shd w:val="clear" w:color="auto" w:fill="FFFFFF"/>
              <w:spacing w:before="60" w:after="60"/>
              <w:ind w:left="720"/>
              <w:rPr>
                <w:rFonts w:asciiTheme="majorHAnsi" w:hAnsiTheme="majorHAnsi" w:cs="Calibri"/>
                <w:sz w:val="22"/>
                <w:lang w:val="en-GB" w:eastAsia="en-GB"/>
              </w:rPr>
            </w:pPr>
            <w:r>
              <w:rPr>
                <w:rFonts w:asciiTheme="majorHAnsi" w:hAnsiTheme="majorHAnsi" w:cs="Calibri"/>
                <w:sz w:val="22"/>
                <w:lang w:val="en-GB" w:eastAsia="en-GB"/>
              </w:rPr>
              <w:t xml:space="preserve">Farmers, including all the participating and contact farmers in the community </w:t>
            </w:r>
          </w:p>
          <w:p w:rsidR="001675DF" w:rsidRDefault="000E12EB">
            <w:pPr>
              <w:pStyle w:val="ListParagraph"/>
              <w:numPr>
                <w:ilvl w:val="0"/>
                <w:numId w:val="0"/>
              </w:numPr>
              <w:shd w:val="clear" w:color="auto" w:fill="FFFFFF"/>
              <w:spacing w:before="60" w:after="60"/>
              <w:ind w:left="720"/>
              <w:rPr>
                <w:rFonts w:asciiTheme="majorHAnsi" w:hAnsiTheme="majorHAnsi" w:cs="Calibri"/>
                <w:sz w:val="22"/>
                <w:lang w:val="en-GB" w:eastAsia="en-GB"/>
              </w:rPr>
            </w:pPr>
            <w:r>
              <w:rPr>
                <w:rFonts w:asciiTheme="majorHAnsi" w:hAnsiTheme="majorHAnsi" w:cs="Calibri"/>
                <w:sz w:val="22"/>
                <w:lang w:val="en-GB" w:eastAsia="en-GB"/>
              </w:rPr>
              <w:t xml:space="preserve">Roles: Resources and group Mobilization, end users of research products </w:t>
            </w:r>
          </w:p>
          <w:p w:rsidR="001675DF" w:rsidRDefault="000E12EB">
            <w:pPr>
              <w:pStyle w:val="ListParagraph"/>
              <w:numPr>
                <w:ilvl w:val="0"/>
                <w:numId w:val="0"/>
              </w:numPr>
              <w:shd w:val="clear" w:color="auto" w:fill="FFFFFF"/>
              <w:spacing w:before="60" w:after="60"/>
              <w:ind w:left="720"/>
              <w:rPr>
                <w:rFonts w:asciiTheme="majorHAnsi" w:hAnsiTheme="majorHAnsi" w:cs="Calibri"/>
                <w:sz w:val="22"/>
                <w:lang w:val="en-GB" w:eastAsia="en-GB"/>
              </w:rPr>
            </w:pPr>
            <w:r>
              <w:rPr>
                <w:rFonts w:asciiTheme="majorHAnsi" w:hAnsiTheme="majorHAnsi" w:cs="Calibri"/>
                <w:sz w:val="22"/>
                <w:lang w:val="en-GB" w:eastAsia="en-GB"/>
              </w:rPr>
              <w:t>Extension agents: They are the link between local famers and research institutions</w:t>
            </w:r>
          </w:p>
          <w:p w:rsidR="001675DF" w:rsidRDefault="000E12EB">
            <w:pPr>
              <w:pStyle w:val="ListParagraph"/>
              <w:numPr>
                <w:ilvl w:val="0"/>
                <w:numId w:val="0"/>
              </w:numPr>
              <w:shd w:val="clear" w:color="auto" w:fill="FFFFFF"/>
              <w:spacing w:before="60" w:after="60"/>
              <w:ind w:left="720"/>
              <w:rPr>
                <w:rFonts w:asciiTheme="majorHAnsi" w:hAnsiTheme="majorHAnsi" w:cs="Calibri"/>
                <w:sz w:val="22"/>
                <w:lang w:val="en-GB" w:eastAsia="en-GB"/>
              </w:rPr>
            </w:pPr>
            <w:r>
              <w:rPr>
                <w:rFonts w:asciiTheme="majorHAnsi" w:hAnsiTheme="majorHAnsi" w:cs="Calibri"/>
                <w:sz w:val="22"/>
                <w:lang w:val="en-GB" w:eastAsia="en-GB"/>
              </w:rPr>
              <w:t>Researc</w:t>
            </w:r>
            <w:r>
              <w:rPr>
                <w:rFonts w:asciiTheme="majorHAnsi" w:hAnsiTheme="majorHAnsi" w:cs="Calibri"/>
                <w:sz w:val="22"/>
                <w:lang w:val="en-GB" w:eastAsia="en-GB"/>
              </w:rPr>
              <w:t xml:space="preserve">hers- Designing of research for the community </w:t>
            </w:r>
          </w:p>
          <w:p w:rsidR="001675DF" w:rsidRDefault="000E12EB">
            <w:pPr>
              <w:pStyle w:val="ListParagraph"/>
              <w:numPr>
                <w:ilvl w:val="0"/>
                <w:numId w:val="0"/>
              </w:numPr>
              <w:shd w:val="clear" w:color="auto" w:fill="FFFFFF"/>
              <w:spacing w:before="60" w:after="60"/>
              <w:ind w:left="720"/>
              <w:rPr>
                <w:rFonts w:asciiTheme="majorHAnsi" w:hAnsiTheme="majorHAnsi" w:cs="Calibri"/>
                <w:sz w:val="22"/>
                <w:lang w:val="en-GB" w:eastAsia="en-GB"/>
              </w:rPr>
            </w:pPr>
            <w:r>
              <w:rPr>
                <w:rFonts w:asciiTheme="majorHAnsi" w:hAnsiTheme="majorHAnsi" w:cs="Calibri"/>
                <w:sz w:val="22"/>
                <w:lang w:val="en-GB" w:eastAsia="en-GB"/>
              </w:rPr>
              <w:t xml:space="preserve">Government Agency: Play a crucial role in incentives for community engagement activities </w:t>
            </w:r>
          </w:p>
          <w:p w:rsidR="001675DF" w:rsidRDefault="000E12EB">
            <w:pPr>
              <w:pStyle w:val="ListParagraph"/>
              <w:numPr>
                <w:ilvl w:val="0"/>
                <w:numId w:val="0"/>
              </w:numPr>
              <w:shd w:val="clear" w:color="auto" w:fill="FFFFFF"/>
              <w:spacing w:before="60" w:after="60"/>
              <w:ind w:left="720"/>
              <w:rPr>
                <w:rFonts w:asciiTheme="majorHAnsi" w:hAnsiTheme="majorHAnsi" w:cs="Calibri"/>
                <w:sz w:val="22"/>
                <w:lang w:val="en-GB" w:eastAsia="en-GB"/>
              </w:rPr>
            </w:pPr>
            <w:r>
              <w:rPr>
                <w:rFonts w:asciiTheme="majorHAnsi" w:hAnsiTheme="majorHAnsi" w:cs="Calibri"/>
                <w:sz w:val="22"/>
                <w:lang w:val="en-GB" w:eastAsia="en-GB"/>
              </w:rPr>
              <w:t xml:space="preserve">Security Agency: They secure lives and support for community engagement. </w:t>
            </w:r>
          </w:p>
        </w:tc>
      </w:tr>
      <w:tr w:rsidR="001675DF">
        <w:trPr>
          <w:trHeight w:val="2755"/>
        </w:trPr>
        <w:tc>
          <w:tcPr>
            <w:tcW w:w="5000" w:type="pct"/>
            <w:gridSpan w:val="2"/>
          </w:tcPr>
          <w:p w:rsidR="001675DF" w:rsidRDefault="000E12EB">
            <w:pPr>
              <w:pStyle w:val="ListParagraph"/>
              <w:numPr>
                <w:ilvl w:val="0"/>
                <w:numId w:val="3"/>
              </w:numPr>
              <w:rPr>
                <w:rFonts w:asciiTheme="majorHAnsi" w:hAnsiTheme="majorHAnsi" w:cs="Calibri"/>
                <w:sz w:val="22"/>
                <w:lang w:val="en-GB" w:eastAsia="en-GB"/>
              </w:rPr>
            </w:pPr>
            <w:r>
              <w:rPr>
                <w:rFonts w:asciiTheme="majorHAnsi" w:hAnsiTheme="majorHAnsi" w:cs="Calibri"/>
                <w:sz w:val="22"/>
                <w:lang w:val="en-GB" w:eastAsia="en-GB"/>
              </w:rPr>
              <w:t xml:space="preserve">How does your intervention ensure </w:t>
            </w:r>
            <w:r>
              <w:rPr>
                <w:rFonts w:asciiTheme="majorHAnsi" w:hAnsiTheme="majorHAnsi" w:cs="Calibri"/>
                <w:b/>
                <w:bCs/>
                <w:sz w:val="22"/>
                <w:lang w:val="en-GB" w:eastAsia="en-GB"/>
              </w:rPr>
              <w:t>inclusivit</w:t>
            </w:r>
            <w:r>
              <w:rPr>
                <w:rFonts w:asciiTheme="majorHAnsi" w:hAnsiTheme="majorHAnsi" w:cs="Calibri"/>
                <w:b/>
                <w:bCs/>
                <w:sz w:val="22"/>
                <w:lang w:val="en-GB" w:eastAsia="en-GB"/>
              </w:rPr>
              <w:t>y and equal and meaningful participation</w:t>
            </w:r>
            <w:r>
              <w:rPr>
                <w:rFonts w:asciiTheme="majorHAnsi" w:hAnsiTheme="majorHAnsi" w:cs="Calibri"/>
                <w:sz w:val="22"/>
                <w:lang w:val="en-GB" w:eastAsia="en-GB"/>
              </w:rPr>
              <w:t xml:space="preserve"> within the </w:t>
            </w:r>
            <w:r>
              <w:rPr>
                <w:rFonts w:asciiTheme="majorHAnsi" w:hAnsiTheme="majorHAnsi" w:cs="Calibri"/>
                <w:b/>
                <w:bCs/>
                <w:sz w:val="22"/>
                <w:lang w:val="en-GB" w:eastAsia="en-GB"/>
              </w:rPr>
              <w:t>community?</w:t>
            </w:r>
          </w:p>
          <w:p w:rsidR="001675DF" w:rsidRDefault="000E12EB">
            <w:pPr>
              <w:pStyle w:val="ListParagraph"/>
              <w:numPr>
                <w:ilvl w:val="0"/>
                <w:numId w:val="0"/>
              </w:numPr>
              <w:ind w:left="720"/>
              <w:rPr>
                <w:rFonts w:asciiTheme="majorHAnsi" w:hAnsiTheme="majorHAnsi"/>
                <w:sz w:val="22"/>
              </w:rPr>
            </w:pPr>
            <w:r>
              <w:rPr>
                <w:rFonts w:asciiTheme="majorHAnsi" w:hAnsiTheme="majorHAnsi"/>
                <w:sz w:val="22"/>
              </w:rPr>
              <w:t>Ensuring Inclusivity and Equal Participation:</w:t>
            </w:r>
          </w:p>
          <w:p w:rsidR="001675DF" w:rsidRDefault="000E12EB">
            <w:pPr>
              <w:pStyle w:val="ListParagraph"/>
              <w:numPr>
                <w:ilvl w:val="0"/>
                <w:numId w:val="0"/>
              </w:numPr>
              <w:ind w:left="720"/>
              <w:rPr>
                <w:rFonts w:asciiTheme="majorHAnsi" w:hAnsiTheme="majorHAnsi"/>
                <w:sz w:val="22"/>
              </w:rPr>
            </w:pPr>
            <w:r>
              <w:rPr>
                <w:rFonts w:asciiTheme="majorHAnsi" w:hAnsiTheme="majorHAnsi"/>
                <w:sz w:val="22"/>
              </w:rPr>
              <w:t xml:space="preserve">The intervention engaged diverse demographic groups by tailoring strategies to factors like gender, age, ethnicity, disability, and socio-economic </w:t>
            </w:r>
            <w:r>
              <w:rPr>
                <w:rFonts w:asciiTheme="majorHAnsi" w:hAnsiTheme="majorHAnsi"/>
                <w:sz w:val="22"/>
              </w:rPr>
              <w:t>status. Special attention was given to vulnerable groups, including those in crises, migrants, and refugees, ensuring their participation was relevant and accessible.</w:t>
            </w:r>
          </w:p>
          <w:p w:rsidR="001675DF" w:rsidRDefault="001675DF">
            <w:pPr>
              <w:pStyle w:val="ListParagraph"/>
              <w:numPr>
                <w:ilvl w:val="0"/>
                <w:numId w:val="0"/>
              </w:numPr>
              <w:ind w:left="720"/>
              <w:rPr>
                <w:rFonts w:asciiTheme="majorHAnsi" w:hAnsiTheme="majorHAnsi"/>
                <w:sz w:val="22"/>
              </w:rPr>
            </w:pPr>
          </w:p>
          <w:p w:rsidR="001675DF" w:rsidRDefault="000E12EB">
            <w:pPr>
              <w:pStyle w:val="ListParagraph"/>
              <w:numPr>
                <w:ilvl w:val="0"/>
                <w:numId w:val="0"/>
              </w:numPr>
              <w:ind w:left="720"/>
              <w:rPr>
                <w:rFonts w:asciiTheme="majorHAnsi" w:hAnsiTheme="majorHAnsi"/>
                <w:sz w:val="22"/>
              </w:rPr>
            </w:pPr>
            <w:r>
              <w:rPr>
                <w:rFonts w:asciiTheme="majorHAnsi" w:hAnsiTheme="majorHAnsi"/>
                <w:sz w:val="22"/>
              </w:rPr>
              <w:t xml:space="preserve">A gender-responsive approach promoted equal representation of women, encouraging shared </w:t>
            </w:r>
            <w:r>
              <w:rPr>
                <w:rFonts w:asciiTheme="majorHAnsi" w:hAnsiTheme="majorHAnsi"/>
                <w:sz w:val="22"/>
              </w:rPr>
              <w:t>leadership through gender-transformative strategies. Training sessions raised awareness of inclusive practices, helping leaders address intersectionality and support marginalized identities. Physical and communication barriers were reduced to enable full p</w:t>
            </w:r>
            <w:r>
              <w:rPr>
                <w:rFonts w:asciiTheme="majorHAnsi" w:hAnsiTheme="majorHAnsi"/>
                <w:sz w:val="22"/>
              </w:rPr>
              <w:t>articipation of individuals with disabilities. These efforts created an inclusive environment that valued diversity and fostered meaningful engagement.</w:t>
            </w:r>
          </w:p>
        </w:tc>
      </w:tr>
      <w:tr w:rsidR="001675DF">
        <w:trPr>
          <w:trHeight w:val="369"/>
        </w:trPr>
        <w:tc>
          <w:tcPr>
            <w:tcW w:w="5000" w:type="pct"/>
            <w:gridSpan w:val="2"/>
          </w:tcPr>
          <w:p w:rsidR="001675DF" w:rsidRDefault="000E12EB">
            <w:pPr>
              <w:pStyle w:val="ListParagraph"/>
              <w:numPr>
                <w:ilvl w:val="0"/>
                <w:numId w:val="3"/>
              </w:numPr>
              <w:shd w:val="clear" w:color="auto" w:fill="FFFFFF"/>
              <w:spacing w:before="60" w:after="60"/>
              <w:jc w:val="left"/>
              <w:rPr>
                <w:rFonts w:asciiTheme="majorHAnsi" w:hAnsiTheme="majorHAnsi"/>
                <w:sz w:val="22"/>
              </w:rPr>
            </w:pPr>
            <w:r>
              <w:rPr>
                <w:rFonts w:asciiTheme="majorHAnsi" w:hAnsiTheme="majorHAnsi"/>
                <w:sz w:val="22"/>
              </w:rPr>
              <w:t xml:space="preserve">By using community engagement, what </w:t>
            </w:r>
            <w:r>
              <w:rPr>
                <w:rFonts w:asciiTheme="majorHAnsi" w:hAnsiTheme="majorHAnsi"/>
                <w:b/>
                <w:bCs/>
                <w:sz w:val="22"/>
              </w:rPr>
              <w:t>results and impacts</w:t>
            </w:r>
            <w:r>
              <w:rPr>
                <w:rFonts w:asciiTheme="majorHAnsi" w:hAnsiTheme="majorHAnsi"/>
                <w:sz w:val="22"/>
              </w:rPr>
              <w:t xml:space="preserve"> have your good practice achieved?</w:t>
            </w:r>
          </w:p>
          <w:p w:rsidR="001675DF" w:rsidRDefault="000E12EB">
            <w:pPr>
              <w:pStyle w:val="ListParagraph"/>
              <w:numPr>
                <w:ilvl w:val="0"/>
                <w:numId w:val="0"/>
              </w:numPr>
              <w:shd w:val="clear" w:color="auto" w:fill="FFFFFF"/>
              <w:spacing w:before="60" w:after="60"/>
              <w:ind w:left="720"/>
              <w:jc w:val="left"/>
              <w:rPr>
                <w:rFonts w:asciiTheme="majorHAnsi" w:hAnsiTheme="majorHAnsi"/>
                <w:sz w:val="22"/>
              </w:rPr>
            </w:pPr>
            <w:r>
              <w:t xml:space="preserve">In </w:t>
            </w:r>
            <w:r>
              <w:t>implementing community engagement activities do come with multi-faceted problems or challenges presented below are some probable challenges.</w:t>
            </w:r>
          </w:p>
          <w:p w:rsidR="001675DF" w:rsidRDefault="000E12EB">
            <w:pPr>
              <w:pStyle w:val="ListParagraph"/>
              <w:numPr>
                <w:ilvl w:val="0"/>
                <w:numId w:val="5"/>
              </w:numPr>
              <w:contextualSpacing/>
              <w:jc w:val="left"/>
            </w:pPr>
            <w:r>
              <w:t>Low community people participation: Mobilizing community members to engage in activities can be cumbersome, since o</w:t>
            </w:r>
            <w:r>
              <w:t xml:space="preserve">ftentimes members could be too busy to participate. </w:t>
            </w:r>
          </w:p>
          <w:p w:rsidR="001675DF" w:rsidRDefault="000E12EB">
            <w:pPr>
              <w:pStyle w:val="ListParagraph"/>
              <w:numPr>
                <w:ilvl w:val="0"/>
                <w:numId w:val="5"/>
              </w:numPr>
              <w:contextualSpacing/>
              <w:jc w:val="left"/>
            </w:pPr>
            <w:r>
              <w:t xml:space="preserve">Communication barrier: Language difference or technological constraints can affect effective communication within the community. </w:t>
            </w:r>
          </w:p>
          <w:p w:rsidR="001675DF" w:rsidRDefault="000E12EB">
            <w:pPr>
              <w:pStyle w:val="ListParagraph"/>
              <w:numPr>
                <w:ilvl w:val="0"/>
                <w:numId w:val="5"/>
              </w:numPr>
              <w:contextualSpacing/>
              <w:jc w:val="left"/>
            </w:pPr>
            <w:r>
              <w:t>Poor resource mobilization: Limited funding or personnel can impede the s</w:t>
            </w:r>
            <w:r>
              <w:t xml:space="preserve">cope and quality of communication engagement initiatives. </w:t>
            </w:r>
          </w:p>
          <w:p w:rsidR="001675DF" w:rsidRDefault="000E12EB">
            <w:pPr>
              <w:pStyle w:val="ListParagraph"/>
              <w:numPr>
                <w:ilvl w:val="0"/>
                <w:numId w:val="5"/>
              </w:numPr>
              <w:contextualSpacing/>
              <w:jc w:val="left"/>
            </w:pPr>
            <w:r>
              <w:t>Opposition to charge. Non-conformer in the community may resist new technological innovations, thus making it challenging to execute charges through community engagement.</w:t>
            </w:r>
          </w:p>
          <w:p w:rsidR="001675DF" w:rsidRDefault="001675DF">
            <w:pPr>
              <w:pStyle w:val="ListParagraph"/>
              <w:numPr>
                <w:ilvl w:val="0"/>
                <w:numId w:val="0"/>
              </w:numPr>
              <w:shd w:val="clear" w:color="auto" w:fill="FFFFFF"/>
              <w:spacing w:before="60" w:after="60"/>
              <w:ind w:left="720"/>
              <w:jc w:val="left"/>
              <w:rPr>
                <w:rFonts w:asciiTheme="majorHAnsi" w:hAnsiTheme="majorHAnsi"/>
                <w:sz w:val="22"/>
              </w:rPr>
            </w:pPr>
          </w:p>
        </w:tc>
      </w:tr>
      <w:tr w:rsidR="001675DF">
        <w:trPr>
          <w:trHeight w:val="369"/>
        </w:trPr>
        <w:tc>
          <w:tcPr>
            <w:tcW w:w="5000" w:type="pct"/>
            <w:gridSpan w:val="2"/>
          </w:tcPr>
          <w:p w:rsidR="001675DF" w:rsidRDefault="000E12EB">
            <w:pPr>
              <w:pStyle w:val="ListParagraph"/>
              <w:numPr>
                <w:ilvl w:val="0"/>
                <w:numId w:val="3"/>
              </w:numPr>
              <w:shd w:val="clear" w:color="auto" w:fill="FFFFFF"/>
              <w:spacing w:before="60" w:after="60"/>
              <w:jc w:val="left"/>
              <w:rPr>
                <w:rFonts w:asciiTheme="majorHAnsi" w:hAnsiTheme="majorHAnsi"/>
                <w:b/>
                <w:bCs/>
                <w:sz w:val="22"/>
              </w:rPr>
            </w:pPr>
            <w:r>
              <w:rPr>
                <w:rFonts w:asciiTheme="majorHAnsi" w:hAnsiTheme="majorHAnsi"/>
                <w:sz w:val="22"/>
              </w:rPr>
              <w:lastRenderedPageBreak/>
              <w:t xml:space="preserve">Among these results, has the good practice led to improvements in terms of </w:t>
            </w:r>
            <w:r>
              <w:rPr>
                <w:rFonts w:asciiTheme="majorHAnsi" w:hAnsiTheme="majorHAnsi"/>
                <w:b/>
                <w:bCs/>
                <w:sz w:val="22"/>
              </w:rPr>
              <w:t>gender equality, women’s empowerment, and/or</w:t>
            </w:r>
            <w:r>
              <w:rPr>
                <w:rFonts w:asciiTheme="majorHAnsi" w:hAnsiTheme="majorHAnsi"/>
                <w:sz w:val="22"/>
              </w:rPr>
              <w:t xml:space="preserve"> </w:t>
            </w:r>
            <w:r>
              <w:rPr>
                <w:rFonts w:asciiTheme="majorHAnsi" w:hAnsiTheme="majorHAnsi"/>
                <w:b/>
                <w:bCs/>
                <w:sz w:val="22"/>
              </w:rPr>
              <w:t>social inclusion</w:t>
            </w:r>
            <w:r>
              <w:rPr>
                <w:rFonts w:asciiTheme="majorHAnsi" w:hAnsiTheme="majorHAnsi"/>
                <w:sz w:val="22"/>
              </w:rPr>
              <w:t>?</w:t>
            </w:r>
          </w:p>
          <w:p w:rsidR="001675DF" w:rsidRDefault="000E12EB">
            <w:pPr>
              <w:pStyle w:val="ListParagraph"/>
              <w:numPr>
                <w:ilvl w:val="0"/>
                <w:numId w:val="0"/>
              </w:numPr>
              <w:shd w:val="clear" w:color="auto" w:fill="FFFFFF"/>
              <w:spacing w:before="60" w:after="60"/>
              <w:ind w:left="720"/>
              <w:jc w:val="left"/>
              <w:rPr>
                <w:rFonts w:asciiTheme="majorHAnsi" w:hAnsiTheme="majorHAnsi"/>
                <w:sz w:val="22"/>
              </w:rPr>
            </w:pPr>
            <w:r>
              <w:rPr>
                <w:rFonts w:asciiTheme="majorHAnsi" w:hAnsiTheme="majorHAnsi"/>
                <w:b/>
                <w:bCs/>
                <w:sz w:val="22"/>
              </w:rPr>
              <w:br/>
            </w:r>
            <w:r>
              <w:rPr>
                <w:rFonts w:asciiTheme="majorHAnsi" w:hAnsiTheme="majorHAnsi"/>
                <w:sz w:val="22"/>
              </w:rPr>
              <w:t>Improvements in Gender Equality, Women’s Empowerment, and Social Inclusion: The initiative fostered equality by invol</w:t>
            </w:r>
            <w:r>
              <w:rPr>
                <w:rFonts w:asciiTheme="majorHAnsi" w:hAnsiTheme="majorHAnsi"/>
                <w:sz w:val="22"/>
              </w:rPr>
              <w:t>ving women in leadership roles, enabling them to influence decisions and take ownership of community projects. Training programs, including workshops and mentoring, boosted women's confidence and leadership skills. Awareness campaigns addressed stereotypes</w:t>
            </w:r>
            <w:r>
              <w:rPr>
                <w:rFonts w:asciiTheme="majorHAnsi" w:hAnsiTheme="majorHAnsi"/>
                <w:sz w:val="22"/>
              </w:rPr>
              <w:t>, promoting inclusivity and respect for diverse voices.</w:t>
            </w:r>
          </w:p>
          <w:p w:rsidR="001675DF" w:rsidRDefault="001675DF">
            <w:pPr>
              <w:pStyle w:val="ListParagraph"/>
              <w:numPr>
                <w:ilvl w:val="0"/>
                <w:numId w:val="0"/>
              </w:numPr>
              <w:shd w:val="clear" w:color="auto" w:fill="FFFFFF"/>
              <w:spacing w:before="60" w:after="60"/>
              <w:ind w:left="720"/>
              <w:jc w:val="left"/>
              <w:rPr>
                <w:rFonts w:asciiTheme="majorHAnsi" w:hAnsiTheme="majorHAnsi"/>
                <w:sz w:val="22"/>
              </w:rPr>
            </w:pPr>
          </w:p>
          <w:p w:rsidR="001675DF" w:rsidRDefault="000E12EB">
            <w:pPr>
              <w:pStyle w:val="ListParagraph"/>
              <w:numPr>
                <w:ilvl w:val="0"/>
                <w:numId w:val="0"/>
              </w:numPr>
              <w:shd w:val="clear" w:color="auto" w:fill="FFFFFF"/>
              <w:spacing w:before="60" w:after="60"/>
              <w:ind w:left="720"/>
              <w:jc w:val="left"/>
              <w:rPr>
                <w:rFonts w:asciiTheme="majorHAnsi" w:hAnsiTheme="majorHAnsi"/>
                <w:b/>
                <w:bCs/>
                <w:sz w:val="22"/>
              </w:rPr>
            </w:pPr>
            <w:r>
              <w:rPr>
                <w:rFonts w:asciiTheme="majorHAnsi" w:hAnsiTheme="majorHAnsi"/>
                <w:sz w:val="22"/>
              </w:rPr>
              <w:t>Support was also provided for women’s engagement in governance, ensuring their input shaped policies and decisions. Additionally, the program worked to establish fair practices and balanced power dis</w:t>
            </w:r>
            <w:r>
              <w:rPr>
                <w:rFonts w:asciiTheme="majorHAnsi" w:hAnsiTheme="majorHAnsi"/>
                <w:sz w:val="22"/>
              </w:rPr>
              <w:t>tribution, fostering inclusivity and strengthening social cohesion among marginalized groups.</w:t>
            </w:r>
            <w:r>
              <w:rPr>
                <w:rFonts w:asciiTheme="majorHAnsi" w:hAnsiTheme="majorHAnsi"/>
                <w:i/>
                <w:iCs/>
                <w:sz w:val="22"/>
              </w:rPr>
              <w:t xml:space="preserve">    </w:t>
            </w:r>
          </w:p>
        </w:tc>
      </w:tr>
      <w:tr w:rsidR="001675DF">
        <w:trPr>
          <w:trHeight w:val="369"/>
        </w:trPr>
        <w:tc>
          <w:tcPr>
            <w:tcW w:w="5000" w:type="pct"/>
            <w:gridSpan w:val="2"/>
          </w:tcPr>
          <w:p w:rsidR="001675DF" w:rsidRDefault="000E12EB">
            <w:pPr>
              <w:pStyle w:val="ListParagraph"/>
              <w:numPr>
                <w:ilvl w:val="0"/>
                <w:numId w:val="3"/>
              </w:numPr>
              <w:shd w:val="clear" w:color="auto" w:fill="FFFFFF"/>
              <w:spacing w:before="60" w:after="60"/>
              <w:jc w:val="left"/>
              <w:rPr>
                <w:rFonts w:asciiTheme="majorHAnsi" w:hAnsiTheme="majorHAnsi"/>
                <w:sz w:val="22"/>
              </w:rPr>
            </w:pPr>
            <w:r>
              <w:rPr>
                <w:rFonts w:asciiTheme="majorHAnsi" w:hAnsiTheme="majorHAnsi" w:cs="Calibri"/>
                <w:sz w:val="22"/>
                <w:lang w:eastAsia="en-GB"/>
              </w:rPr>
              <w:t xml:space="preserve">What </w:t>
            </w:r>
            <w:r>
              <w:rPr>
                <w:rFonts w:asciiTheme="majorHAnsi" w:hAnsiTheme="majorHAnsi" w:cs="Calibri"/>
                <w:b/>
                <w:bCs/>
                <w:sz w:val="22"/>
                <w:lang w:eastAsia="en-GB"/>
              </w:rPr>
              <w:t>key challenges</w:t>
            </w:r>
            <w:r>
              <w:rPr>
                <w:rFonts w:asciiTheme="majorHAnsi" w:hAnsiTheme="majorHAnsi" w:cs="Calibri"/>
                <w:sz w:val="22"/>
                <w:lang w:eastAsia="en-GB"/>
              </w:rPr>
              <w:t xml:space="preserve"> did you encounter while implementing</w:t>
            </w:r>
            <w:r>
              <w:rPr>
                <w:rFonts w:asciiTheme="majorHAnsi" w:hAnsiTheme="majorHAnsi" w:cs="Calibri"/>
                <w:b/>
                <w:bCs/>
                <w:sz w:val="22"/>
                <w:lang w:eastAsia="en-GB"/>
              </w:rPr>
              <w:t xml:space="preserve"> the community engagement activities</w:t>
            </w:r>
            <w:r>
              <w:rPr>
                <w:rFonts w:asciiTheme="majorHAnsi" w:hAnsiTheme="majorHAnsi" w:cs="Calibri"/>
                <w:sz w:val="22"/>
                <w:lang w:eastAsia="en-GB"/>
              </w:rPr>
              <w:t xml:space="preserve">, and </w:t>
            </w:r>
            <w:r>
              <w:rPr>
                <w:rFonts w:asciiTheme="majorHAnsi" w:hAnsiTheme="majorHAnsi" w:cs="Calibri"/>
                <w:b/>
                <w:bCs/>
                <w:sz w:val="22"/>
                <w:lang w:eastAsia="en-GB"/>
              </w:rPr>
              <w:t>how did you address them</w:t>
            </w:r>
            <w:r>
              <w:rPr>
                <w:rFonts w:asciiTheme="majorHAnsi" w:hAnsiTheme="majorHAnsi" w:cs="Calibri"/>
                <w:sz w:val="22"/>
                <w:lang w:eastAsia="en-GB"/>
              </w:rPr>
              <w:t>?</w:t>
            </w:r>
          </w:p>
          <w:p w:rsidR="001675DF" w:rsidRDefault="000E12EB">
            <w:pPr>
              <w:shd w:val="clear" w:color="auto" w:fill="FFFFFF"/>
              <w:spacing w:before="60" w:after="60"/>
              <w:ind w:left="360"/>
              <w:jc w:val="left"/>
              <w:rPr>
                <w:rFonts w:asciiTheme="majorHAnsi" w:hAnsiTheme="majorHAnsi"/>
                <w:sz w:val="22"/>
              </w:rPr>
            </w:pPr>
            <w:r>
              <w:rPr>
                <w:rFonts w:asciiTheme="majorHAnsi" w:hAnsiTheme="majorHAnsi"/>
                <w:sz w:val="22"/>
              </w:rPr>
              <w:t>Key challenges in community engag</w:t>
            </w:r>
            <w:r>
              <w:rPr>
                <w:rFonts w:asciiTheme="majorHAnsi" w:hAnsiTheme="majorHAnsi"/>
                <w:sz w:val="22"/>
              </w:rPr>
              <w:t>ement included building trust, ensuring inclusivity, and addressing resource limitations. Establishing mutual respect with community members required time and consistent transparency to overcome skepticism. Encouraging participation from marginalized group</w:t>
            </w:r>
            <w:r>
              <w:rPr>
                <w:rFonts w:asciiTheme="majorHAnsi" w:hAnsiTheme="majorHAnsi"/>
                <w:sz w:val="22"/>
              </w:rPr>
              <w:t>s was addressed by creating welcoming and accessible environments. To ensure balanced decision-making, disparities in influence were minimized by promoting equal representation. Limited financial and human resources were managed by prioritizing key activit</w:t>
            </w:r>
            <w:r>
              <w:rPr>
                <w:rFonts w:asciiTheme="majorHAnsi" w:hAnsiTheme="majorHAnsi"/>
                <w:sz w:val="22"/>
              </w:rPr>
              <w:t>ies, fostering partnerships, and optimizing available resources. These strategies enhanced program sustainability and impact.</w:t>
            </w:r>
          </w:p>
        </w:tc>
      </w:tr>
      <w:tr w:rsidR="001675DF">
        <w:trPr>
          <w:trHeight w:val="369"/>
        </w:trPr>
        <w:tc>
          <w:tcPr>
            <w:tcW w:w="5000" w:type="pct"/>
            <w:gridSpan w:val="2"/>
          </w:tcPr>
          <w:p w:rsidR="001675DF" w:rsidRDefault="000E12EB">
            <w:pPr>
              <w:pStyle w:val="ListParagraph"/>
              <w:numPr>
                <w:ilvl w:val="0"/>
                <w:numId w:val="3"/>
              </w:numPr>
              <w:shd w:val="clear" w:color="auto" w:fill="FFFFFF"/>
              <w:spacing w:before="60" w:after="60"/>
              <w:rPr>
                <w:rFonts w:asciiTheme="majorHAnsi" w:hAnsiTheme="majorHAnsi"/>
                <w:sz w:val="22"/>
              </w:rPr>
            </w:pPr>
            <w:r>
              <w:rPr>
                <w:rFonts w:asciiTheme="majorHAnsi" w:hAnsiTheme="majorHAnsi" w:cs="Calibri"/>
                <w:color w:val="000000" w:themeColor="text1"/>
                <w:sz w:val="22"/>
                <w:lang w:eastAsia="en-GB"/>
              </w:rPr>
              <w:t xml:space="preserve">What are the key </w:t>
            </w:r>
            <w:r>
              <w:rPr>
                <w:rFonts w:asciiTheme="majorHAnsi" w:hAnsiTheme="majorHAnsi" w:cs="Calibri"/>
                <w:b/>
                <w:bCs/>
                <w:color w:val="000000" w:themeColor="text1"/>
                <w:sz w:val="22"/>
                <w:lang w:eastAsia="en-GB"/>
              </w:rPr>
              <w:t xml:space="preserve">lesson learned </w:t>
            </w:r>
            <w:r>
              <w:rPr>
                <w:rFonts w:asciiTheme="majorHAnsi" w:hAnsiTheme="majorHAnsi" w:cs="Calibri"/>
                <w:color w:val="000000" w:themeColor="text1"/>
                <w:sz w:val="22"/>
                <w:lang w:eastAsia="en-GB"/>
              </w:rPr>
              <w:t xml:space="preserve">from your community engagement good practice? </w:t>
            </w:r>
          </w:p>
          <w:p w:rsidR="001675DF" w:rsidRDefault="000E12EB">
            <w:pPr>
              <w:shd w:val="clear" w:color="auto" w:fill="FFFFFF"/>
              <w:spacing w:before="60" w:after="60"/>
              <w:ind w:left="360"/>
              <w:rPr>
                <w:rFonts w:asciiTheme="majorHAnsi" w:hAnsiTheme="majorHAnsi"/>
                <w:sz w:val="22"/>
              </w:rPr>
            </w:pPr>
            <w:r>
              <w:rPr>
                <w:rFonts w:asciiTheme="majorHAnsi" w:hAnsiTheme="majorHAnsi"/>
                <w:sz w:val="22"/>
              </w:rPr>
              <w:t>Valuable Insights from Engaging with Communities</w:t>
            </w:r>
          </w:p>
          <w:p w:rsidR="001675DF" w:rsidRDefault="000E12EB">
            <w:pPr>
              <w:pStyle w:val="ListParagraph"/>
              <w:numPr>
                <w:ilvl w:val="0"/>
                <w:numId w:val="0"/>
              </w:numPr>
              <w:shd w:val="clear" w:color="auto" w:fill="FFFFFF"/>
              <w:spacing w:before="60" w:after="60"/>
              <w:ind w:left="720"/>
              <w:rPr>
                <w:rFonts w:asciiTheme="majorHAnsi" w:hAnsiTheme="majorHAnsi"/>
                <w:sz w:val="22"/>
              </w:rPr>
            </w:pPr>
            <w:r>
              <w:rPr>
                <w:rFonts w:asciiTheme="majorHAnsi" w:hAnsiTheme="majorHAnsi"/>
                <w:sz w:val="22"/>
              </w:rPr>
              <w:t>1. Community Ownership: Empowering communities fosters responsibility and commitment.</w:t>
            </w:r>
          </w:p>
          <w:p w:rsidR="001675DF" w:rsidRDefault="001675DF">
            <w:pPr>
              <w:pStyle w:val="ListParagraph"/>
              <w:numPr>
                <w:ilvl w:val="0"/>
                <w:numId w:val="0"/>
              </w:numPr>
              <w:shd w:val="clear" w:color="auto" w:fill="FFFFFF"/>
              <w:spacing w:before="60" w:after="60"/>
              <w:rPr>
                <w:rFonts w:asciiTheme="majorHAnsi" w:hAnsiTheme="majorHAnsi"/>
                <w:sz w:val="22"/>
              </w:rPr>
            </w:pPr>
          </w:p>
          <w:p w:rsidR="001675DF" w:rsidRDefault="000E12EB">
            <w:pPr>
              <w:pStyle w:val="ListParagraph"/>
              <w:numPr>
                <w:ilvl w:val="0"/>
                <w:numId w:val="0"/>
              </w:numPr>
              <w:shd w:val="clear" w:color="auto" w:fill="FFFFFF"/>
              <w:spacing w:before="60" w:after="60"/>
              <w:ind w:left="720"/>
              <w:rPr>
                <w:rFonts w:asciiTheme="majorHAnsi" w:hAnsiTheme="majorHAnsi"/>
                <w:sz w:val="22"/>
              </w:rPr>
            </w:pPr>
            <w:r>
              <w:rPr>
                <w:rFonts w:asciiTheme="majorHAnsi" w:hAnsiTheme="majorHAnsi"/>
                <w:sz w:val="22"/>
              </w:rPr>
              <w:t>2. Adaptable Approaches: Tailored strategies ensure engagement fits specific needs effectively.</w:t>
            </w:r>
          </w:p>
          <w:p w:rsidR="001675DF" w:rsidRDefault="001675DF">
            <w:pPr>
              <w:pStyle w:val="ListParagraph"/>
              <w:numPr>
                <w:ilvl w:val="0"/>
                <w:numId w:val="0"/>
              </w:numPr>
              <w:shd w:val="clear" w:color="auto" w:fill="FFFFFF"/>
              <w:spacing w:before="60" w:after="60"/>
              <w:ind w:left="720"/>
              <w:rPr>
                <w:rFonts w:asciiTheme="majorHAnsi" w:hAnsiTheme="majorHAnsi"/>
                <w:sz w:val="22"/>
              </w:rPr>
            </w:pPr>
          </w:p>
          <w:p w:rsidR="001675DF" w:rsidRDefault="000E12EB">
            <w:pPr>
              <w:pStyle w:val="ListParagraph"/>
              <w:numPr>
                <w:ilvl w:val="0"/>
                <w:numId w:val="0"/>
              </w:numPr>
              <w:shd w:val="clear" w:color="auto" w:fill="FFFFFF"/>
              <w:spacing w:before="60" w:after="60"/>
              <w:ind w:left="720"/>
              <w:rPr>
                <w:rFonts w:asciiTheme="majorHAnsi" w:hAnsiTheme="majorHAnsi"/>
                <w:sz w:val="22"/>
              </w:rPr>
            </w:pPr>
            <w:r>
              <w:rPr>
                <w:rFonts w:asciiTheme="majorHAnsi" w:hAnsiTheme="majorHAnsi"/>
                <w:sz w:val="22"/>
              </w:rPr>
              <w:t>3. Consistent Communication: Open and regular communication builds trust</w:t>
            </w:r>
            <w:r>
              <w:rPr>
                <w:rFonts w:asciiTheme="majorHAnsi" w:hAnsiTheme="majorHAnsi"/>
                <w:sz w:val="22"/>
              </w:rPr>
              <w:t xml:space="preserve"> and keeps stakeholders aligned.</w:t>
            </w:r>
          </w:p>
          <w:p w:rsidR="001675DF" w:rsidRDefault="001675DF">
            <w:pPr>
              <w:pStyle w:val="ListParagraph"/>
              <w:numPr>
                <w:ilvl w:val="0"/>
                <w:numId w:val="0"/>
              </w:numPr>
              <w:shd w:val="clear" w:color="auto" w:fill="FFFFFF"/>
              <w:spacing w:before="60" w:after="60"/>
              <w:ind w:left="720"/>
              <w:rPr>
                <w:rFonts w:asciiTheme="majorHAnsi" w:hAnsiTheme="majorHAnsi"/>
                <w:sz w:val="22"/>
              </w:rPr>
            </w:pPr>
          </w:p>
          <w:p w:rsidR="001675DF" w:rsidRDefault="000E12EB">
            <w:pPr>
              <w:pStyle w:val="ListParagraph"/>
              <w:numPr>
                <w:ilvl w:val="0"/>
                <w:numId w:val="0"/>
              </w:numPr>
              <w:shd w:val="clear" w:color="auto" w:fill="FFFFFF"/>
              <w:spacing w:before="60" w:after="60"/>
              <w:ind w:left="720"/>
              <w:rPr>
                <w:rFonts w:asciiTheme="majorHAnsi" w:hAnsiTheme="majorHAnsi"/>
                <w:sz w:val="22"/>
              </w:rPr>
            </w:pPr>
            <w:r>
              <w:rPr>
                <w:rFonts w:asciiTheme="majorHAnsi" w:hAnsiTheme="majorHAnsi"/>
                <w:sz w:val="22"/>
              </w:rPr>
              <w:t>4. Equity and Inclusion: Embracing diverse perspectives ensures all voices contribute to shared goals.</w:t>
            </w:r>
          </w:p>
          <w:p w:rsidR="001675DF" w:rsidRDefault="001675DF">
            <w:pPr>
              <w:pStyle w:val="ListParagraph"/>
              <w:numPr>
                <w:ilvl w:val="0"/>
                <w:numId w:val="0"/>
              </w:numPr>
              <w:shd w:val="clear" w:color="auto" w:fill="FFFFFF"/>
              <w:spacing w:before="60" w:after="60"/>
              <w:ind w:left="720"/>
              <w:rPr>
                <w:rFonts w:asciiTheme="majorHAnsi" w:hAnsiTheme="majorHAnsi"/>
                <w:sz w:val="22"/>
              </w:rPr>
            </w:pPr>
          </w:p>
          <w:p w:rsidR="001675DF" w:rsidRDefault="000E12EB">
            <w:pPr>
              <w:pStyle w:val="ListParagraph"/>
              <w:numPr>
                <w:ilvl w:val="0"/>
                <w:numId w:val="0"/>
              </w:numPr>
              <w:shd w:val="clear" w:color="auto" w:fill="FFFFFF"/>
              <w:spacing w:before="60" w:after="60"/>
              <w:ind w:left="720"/>
              <w:rPr>
                <w:rFonts w:asciiTheme="majorHAnsi" w:hAnsiTheme="majorHAnsi"/>
                <w:sz w:val="22"/>
              </w:rPr>
            </w:pPr>
            <w:r>
              <w:rPr>
                <w:rFonts w:asciiTheme="majorHAnsi" w:hAnsiTheme="majorHAnsi"/>
                <w:sz w:val="22"/>
              </w:rPr>
              <w:t>5. Skill Development: Strengthening local leadership enhances project sustainability.</w:t>
            </w:r>
          </w:p>
          <w:p w:rsidR="001675DF" w:rsidRDefault="001675DF">
            <w:pPr>
              <w:pStyle w:val="ListParagraph"/>
              <w:numPr>
                <w:ilvl w:val="0"/>
                <w:numId w:val="0"/>
              </w:numPr>
              <w:shd w:val="clear" w:color="auto" w:fill="FFFFFF"/>
              <w:spacing w:before="60" w:after="60"/>
              <w:rPr>
                <w:rFonts w:asciiTheme="majorHAnsi" w:hAnsiTheme="majorHAnsi"/>
                <w:sz w:val="22"/>
              </w:rPr>
            </w:pPr>
          </w:p>
          <w:p w:rsidR="001675DF" w:rsidRDefault="000E12EB">
            <w:pPr>
              <w:pStyle w:val="ListParagraph"/>
              <w:numPr>
                <w:ilvl w:val="0"/>
                <w:numId w:val="0"/>
              </w:numPr>
              <w:shd w:val="clear" w:color="auto" w:fill="FFFFFF"/>
              <w:spacing w:before="60" w:after="60"/>
              <w:ind w:left="720"/>
              <w:rPr>
                <w:rFonts w:asciiTheme="majorHAnsi" w:hAnsiTheme="majorHAnsi"/>
                <w:sz w:val="22"/>
              </w:rPr>
            </w:pPr>
            <w:r>
              <w:rPr>
                <w:rFonts w:asciiTheme="majorHAnsi" w:hAnsiTheme="majorHAnsi"/>
                <w:sz w:val="22"/>
              </w:rPr>
              <w:t>6. Evaluation and Feedback: Reg</w:t>
            </w:r>
            <w:r>
              <w:rPr>
                <w:rFonts w:asciiTheme="majorHAnsi" w:hAnsiTheme="majorHAnsi"/>
                <w:sz w:val="22"/>
              </w:rPr>
              <w:t>ular monitoring highlights successes and areas for improvement.</w:t>
            </w:r>
          </w:p>
          <w:p w:rsidR="001675DF" w:rsidRDefault="001675DF">
            <w:pPr>
              <w:pStyle w:val="ListParagraph"/>
              <w:numPr>
                <w:ilvl w:val="0"/>
                <w:numId w:val="0"/>
              </w:numPr>
              <w:shd w:val="clear" w:color="auto" w:fill="FFFFFF"/>
              <w:spacing w:before="60" w:after="60"/>
              <w:rPr>
                <w:rFonts w:asciiTheme="majorHAnsi" w:hAnsiTheme="majorHAnsi"/>
                <w:sz w:val="22"/>
              </w:rPr>
            </w:pPr>
          </w:p>
          <w:p w:rsidR="001675DF" w:rsidRDefault="000E12EB">
            <w:pPr>
              <w:pStyle w:val="ListParagraph"/>
              <w:numPr>
                <w:ilvl w:val="0"/>
                <w:numId w:val="0"/>
              </w:numPr>
              <w:shd w:val="clear" w:color="auto" w:fill="FFFFFF"/>
              <w:spacing w:before="60" w:after="60"/>
              <w:ind w:left="720"/>
            </w:pPr>
            <w:r>
              <w:rPr>
                <w:rFonts w:asciiTheme="majorHAnsi" w:hAnsiTheme="majorHAnsi"/>
                <w:sz w:val="22"/>
              </w:rPr>
              <w:t>7. Collaboration: Partnerships with stakeholders amplify resource sharing and impact.</w:t>
            </w:r>
          </w:p>
        </w:tc>
      </w:tr>
      <w:tr w:rsidR="001675DF">
        <w:trPr>
          <w:trHeight w:val="369"/>
        </w:trPr>
        <w:tc>
          <w:tcPr>
            <w:tcW w:w="5000" w:type="pct"/>
            <w:gridSpan w:val="2"/>
          </w:tcPr>
          <w:p w:rsidR="001675DF" w:rsidRDefault="000E12EB">
            <w:pPr>
              <w:pStyle w:val="ListParagraph"/>
              <w:numPr>
                <w:ilvl w:val="0"/>
                <w:numId w:val="3"/>
              </w:numPr>
              <w:shd w:val="clear" w:color="auto" w:fill="FFFFFF"/>
              <w:spacing w:before="60" w:after="60"/>
              <w:jc w:val="left"/>
              <w:rPr>
                <w:rFonts w:asciiTheme="majorHAnsi" w:hAnsiTheme="majorHAnsi" w:cs="Calibri"/>
                <w:sz w:val="22"/>
                <w:lang w:val="en-GB" w:eastAsia="en-GB"/>
              </w:rPr>
            </w:pPr>
            <w:r>
              <w:rPr>
                <w:rFonts w:asciiTheme="majorHAnsi" w:hAnsiTheme="majorHAnsi" w:cs="Calibri"/>
                <w:sz w:val="22"/>
                <w:lang w:eastAsia="en-GB"/>
              </w:rPr>
              <w:lastRenderedPageBreak/>
              <w:t xml:space="preserve">Has this practice been </w:t>
            </w:r>
            <w:r>
              <w:rPr>
                <w:rFonts w:asciiTheme="majorHAnsi" w:hAnsiTheme="majorHAnsi" w:cs="Calibri"/>
                <w:b/>
                <w:bCs/>
                <w:sz w:val="22"/>
                <w:lang w:eastAsia="en-GB"/>
              </w:rPr>
              <w:t>replicated</w:t>
            </w:r>
            <w:r>
              <w:rPr>
                <w:rFonts w:asciiTheme="majorHAnsi" w:hAnsiTheme="majorHAnsi" w:cs="Calibri"/>
                <w:sz w:val="22"/>
                <w:lang w:eastAsia="en-GB"/>
              </w:rPr>
              <w:t xml:space="preserve"> in the same context or in different contexts?</w:t>
            </w:r>
            <w:r>
              <w:rPr>
                <w:rFonts w:asciiTheme="majorHAnsi" w:hAnsiTheme="majorHAnsi" w:cs="Calibri"/>
                <w:sz w:val="22"/>
                <w:lang w:eastAsia="en-GB"/>
              </w:rPr>
              <w:br/>
            </w:r>
            <w:r>
              <w:rPr>
                <w:rFonts w:asciiTheme="majorHAnsi" w:hAnsiTheme="majorHAnsi" w:cs="Calibri"/>
                <w:i/>
                <w:iCs/>
                <w:sz w:val="22"/>
                <w:lang w:eastAsia="en-GB"/>
              </w:rPr>
              <w:t xml:space="preserve">What are the required </w:t>
            </w:r>
            <w:r>
              <w:rPr>
                <w:rFonts w:asciiTheme="majorHAnsi" w:hAnsiTheme="majorHAnsi" w:cs="Calibri"/>
                <w:i/>
                <w:iCs/>
                <w:sz w:val="22"/>
                <w:lang w:eastAsia="en-GB"/>
              </w:rPr>
              <w:t>conditions to replicate and adapt the practice in another context/geographical area?</w:t>
            </w:r>
          </w:p>
          <w:p w:rsidR="001675DF" w:rsidRDefault="000E12EB">
            <w:r>
              <w:t>Replication of Community Engagement Good Practices</w:t>
            </w:r>
          </w:p>
          <w:p w:rsidR="001675DF" w:rsidRDefault="000E12EB">
            <w:r>
              <w:t>Good practices have been successfully replicated in the same context and yielded positive results, alike to good relatio</w:t>
            </w:r>
            <w:r>
              <w:t>nships, trust, and knowledge sharing among the major actors and stakeholders in the community.</w:t>
            </w:r>
          </w:p>
          <w:p w:rsidR="001675DF" w:rsidRDefault="000E12EB">
            <w:r>
              <w:t>Necessary Conditions for Replication: In order to replicate a particular good practice, certain conditions are necessary, e.g.</w:t>
            </w:r>
          </w:p>
          <w:p w:rsidR="001675DF" w:rsidRDefault="000E12EB">
            <w:pPr>
              <w:pStyle w:val="ListParagraph"/>
              <w:numPr>
                <w:ilvl w:val="0"/>
                <w:numId w:val="6"/>
              </w:numPr>
              <w:contextualSpacing/>
              <w:jc w:val="left"/>
            </w:pPr>
            <w:r>
              <w:t>cultural and belief systems of the</w:t>
            </w:r>
            <w:r>
              <w:t xml:space="preserve"> people </w:t>
            </w:r>
          </w:p>
          <w:p w:rsidR="001675DF" w:rsidRDefault="000E12EB">
            <w:pPr>
              <w:pStyle w:val="ListParagraph"/>
              <w:numPr>
                <w:ilvl w:val="0"/>
                <w:numId w:val="6"/>
              </w:numPr>
              <w:contextualSpacing/>
              <w:jc w:val="left"/>
            </w:pPr>
            <w:r>
              <w:t xml:space="preserve">participating approach is equally important among the community actors. </w:t>
            </w:r>
          </w:p>
          <w:p w:rsidR="001675DF" w:rsidRDefault="000E12EB">
            <w:pPr>
              <w:pStyle w:val="ListParagraph"/>
              <w:numPr>
                <w:ilvl w:val="0"/>
                <w:numId w:val="6"/>
              </w:numPr>
              <w:contextualSpacing/>
              <w:jc w:val="left"/>
            </w:pPr>
            <w:r>
              <w:t xml:space="preserve">Cultural Norms </w:t>
            </w:r>
          </w:p>
          <w:p w:rsidR="001675DF" w:rsidRDefault="000E12EB">
            <w:pPr>
              <w:ind w:left="360"/>
            </w:pPr>
            <w:r>
              <w:t>Adaptability of the good practice entails;</w:t>
            </w:r>
          </w:p>
          <w:p w:rsidR="001675DF" w:rsidRDefault="000E12EB">
            <w:pPr>
              <w:pStyle w:val="ListParagraph"/>
              <w:numPr>
                <w:ilvl w:val="0"/>
                <w:numId w:val="7"/>
              </w:numPr>
              <w:contextualSpacing/>
              <w:jc w:val="left"/>
            </w:pPr>
            <w:r>
              <w:t xml:space="preserve">social action process </w:t>
            </w:r>
          </w:p>
          <w:p w:rsidR="001675DF" w:rsidRDefault="000E12EB">
            <w:pPr>
              <w:pStyle w:val="ListParagraph"/>
              <w:numPr>
                <w:ilvl w:val="0"/>
                <w:numId w:val="7"/>
              </w:numPr>
              <w:contextualSpacing/>
              <w:jc w:val="left"/>
            </w:pPr>
            <w:r>
              <w:t xml:space="preserve">avoidance of cultural lag, </w:t>
            </w:r>
          </w:p>
          <w:p w:rsidR="001675DF" w:rsidRDefault="000E12EB">
            <w:pPr>
              <w:pStyle w:val="ListParagraph"/>
              <w:numPr>
                <w:ilvl w:val="0"/>
                <w:numId w:val="0"/>
              </w:numPr>
              <w:ind w:left="720"/>
              <w:contextualSpacing/>
              <w:jc w:val="left"/>
            </w:pPr>
            <w:r>
              <w:t>guide against political affiliations.</w:t>
            </w:r>
          </w:p>
          <w:p w:rsidR="001675DF" w:rsidRDefault="001675DF">
            <w:pPr>
              <w:pStyle w:val="ListParagraph"/>
              <w:numPr>
                <w:ilvl w:val="0"/>
                <w:numId w:val="0"/>
              </w:numPr>
              <w:ind w:left="1440"/>
              <w:contextualSpacing/>
              <w:jc w:val="left"/>
              <w:rPr>
                <w:rFonts w:asciiTheme="majorHAnsi" w:hAnsiTheme="majorHAnsi" w:cs="Calibri"/>
                <w:sz w:val="22"/>
                <w:lang w:val="en-GB" w:eastAsia="en-GB"/>
              </w:rPr>
            </w:pPr>
          </w:p>
        </w:tc>
      </w:tr>
      <w:tr w:rsidR="001675DF">
        <w:trPr>
          <w:trHeight w:val="369"/>
        </w:trPr>
        <w:tc>
          <w:tcPr>
            <w:tcW w:w="5000" w:type="pct"/>
            <w:gridSpan w:val="2"/>
          </w:tcPr>
          <w:p w:rsidR="001675DF" w:rsidRDefault="000E12EB">
            <w:pPr>
              <w:pStyle w:val="ListParagraph"/>
              <w:numPr>
                <w:ilvl w:val="0"/>
                <w:numId w:val="3"/>
              </w:numPr>
              <w:shd w:val="clear" w:color="auto" w:fill="FFFFFF"/>
              <w:spacing w:before="60" w:after="60"/>
              <w:rPr>
                <w:rFonts w:asciiTheme="majorHAnsi" w:hAnsiTheme="majorHAnsi" w:cs="Calibri"/>
                <w:sz w:val="22"/>
                <w:lang w:val="en-GB" w:eastAsia="en-GB"/>
              </w:rPr>
            </w:pPr>
            <w:r>
              <w:rPr>
                <w:rFonts w:asciiTheme="majorHAnsi" w:hAnsiTheme="majorHAnsi" w:cs="Calibri"/>
                <w:sz w:val="22"/>
                <w:lang w:val="en-GB"/>
              </w:rPr>
              <w:t xml:space="preserve"> How </w:t>
            </w:r>
            <w:r>
              <w:rPr>
                <w:rFonts w:asciiTheme="majorHAnsi" w:hAnsiTheme="majorHAnsi" w:cs="Calibri"/>
                <w:b/>
                <w:bCs/>
                <w:sz w:val="22"/>
                <w:lang w:val="en-GB"/>
              </w:rPr>
              <w:t>sustainable are the</w:t>
            </w:r>
            <w:r>
              <w:rPr>
                <w:rFonts w:asciiTheme="majorHAnsi" w:hAnsiTheme="majorHAnsi" w:cs="Calibri"/>
                <w:b/>
                <w:bCs/>
                <w:sz w:val="22"/>
                <w:lang w:val="en-GB"/>
              </w:rPr>
              <w:t xml:space="preserve"> results achieved by this good practice?</w:t>
            </w:r>
            <w:r>
              <w:rPr>
                <w:rFonts w:asciiTheme="majorHAnsi" w:hAnsiTheme="majorHAnsi" w:cs="Calibri"/>
                <w:sz w:val="22"/>
                <w:lang w:val="en-GB"/>
              </w:rPr>
              <w:t xml:space="preserve"> </w:t>
            </w:r>
          </w:p>
          <w:p w:rsidR="001675DF" w:rsidRDefault="000E12EB">
            <w:pPr>
              <w:pStyle w:val="ListParagraph"/>
              <w:numPr>
                <w:ilvl w:val="0"/>
                <w:numId w:val="0"/>
              </w:numPr>
              <w:shd w:val="clear" w:color="auto" w:fill="FFFFFF"/>
              <w:spacing w:before="60" w:after="60"/>
              <w:ind w:left="720"/>
              <w:rPr>
                <w:rFonts w:asciiTheme="majorHAnsi" w:hAnsiTheme="majorHAnsi" w:cs="Calibri"/>
                <w:i/>
                <w:iCs/>
                <w:sz w:val="22"/>
              </w:rPr>
            </w:pPr>
            <w:r>
              <w:rPr>
                <w:rFonts w:asciiTheme="majorHAnsi" w:hAnsiTheme="majorHAnsi" w:cs="Calibri"/>
                <w:i/>
                <w:iCs/>
                <w:sz w:val="22"/>
              </w:rPr>
              <w:t xml:space="preserve">Describe the key elements that need to be in place to make the initiative sustainable, including enabling environment (legal and policy frameworks and institutions), local ownership, accountability, etc. </w:t>
            </w:r>
          </w:p>
          <w:p w:rsidR="001675DF" w:rsidRDefault="000E12EB">
            <w:pPr>
              <w:pStyle w:val="ListParagraph"/>
              <w:numPr>
                <w:ilvl w:val="0"/>
                <w:numId w:val="0"/>
              </w:numPr>
              <w:ind w:left="720"/>
              <w:contextualSpacing/>
              <w:jc w:val="left"/>
            </w:pPr>
            <w:r>
              <w:t xml:space="preserve">The results achieved were sustainable. </w:t>
            </w:r>
          </w:p>
          <w:p w:rsidR="001675DF" w:rsidRDefault="000E12EB">
            <w:pPr>
              <w:pStyle w:val="ListParagraph"/>
              <w:numPr>
                <w:ilvl w:val="0"/>
                <w:numId w:val="8"/>
              </w:numPr>
              <w:contextualSpacing/>
              <w:jc w:val="left"/>
            </w:pPr>
            <w:r>
              <w:t xml:space="preserve">The good practices helped in empowerment of community members. </w:t>
            </w:r>
          </w:p>
          <w:p w:rsidR="001675DF" w:rsidRDefault="000E12EB">
            <w:pPr>
              <w:pStyle w:val="ListParagraph"/>
              <w:numPr>
                <w:ilvl w:val="0"/>
                <w:numId w:val="8"/>
              </w:numPr>
              <w:contextualSpacing/>
              <w:jc w:val="left"/>
            </w:pPr>
            <w:r>
              <w:t xml:space="preserve">It also engaged community members to take ownership of the practices. </w:t>
            </w:r>
          </w:p>
          <w:p w:rsidR="001675DF" w:rsidRDefault="000E12EB">
            <w:pPr>
              <w:pStyle w:val="ListParagraph"/>
              <w:numPr>
                <w:ilvl w:val="0"/>
                <w:numId w:val="8"/>
              </w:numPr>
              <w:contextualSpacing/>
              <w:jc w:val="left"/>
            </w:pPr>
            <w:r>
              <w:t>It builds skills, knowledge, and capacity of community members.</w:t>
            </w:r>
          </w:p>
          <w:p w:rsidR="001675DF" w:rsidRDefault="000E12EB">
            <w:pPr>
              <w:pStyle w:val="ListParagraph"/>
              <w:numPr>
                <w:ilvl w:val="0"/>
                <w:numId w:val="8"/>
              </w:numPr>
              <w:contextualSpacing/>
              <w:jc w:val="left"/>
            </w:pPr>
            <w:r>
              <w:t xml:space="preserve"> It serves as an eye opener to community engagement among the stakeholders. </w:t>
            </w:r>
          </w:p>
          <w:p w:rsidR="001675DF" w:rsidRDefault="001675DF">
            <w:pPr>
              <w:shd w:val="clear" w:color="auto" w:fill="FFFFFF"/>
              <w:spacing w:before="60" w:after="60"/>
              <w:rPr>
                <w:rFonts w:asciiTheme="majorHAnsi" w:hAnsiTheme="majorHAnsi" w:cs="Calibri"/>
                <w:sz w:val="22"/>
                <w:lang w:val="en-GB" w:eastAsia="en-GB"/>
              </w:rPr>
            </w:pPr>
          </w:p>
        </w:tc>
      </w:tr>
      <w:tr w:rsidR="001675DF">
        <w:trPr>
          <w:trHeight w:val="1710"/>
        </w:trPr>
        <w:tc>
          <w:tcPr>
            <w:tcW w:w="5000" w:type="pct"/>
            <w:gridSpan w:val="2"/>
          </w:tcPr>
          <w:p w:rsidR="001675DF" w:rsidRDefault="000E12EB">
            <w:pPr>
              <w:pStyle w:val="ListParagraph"/>
              <w:numPr>
                <w:ilvl w:val="0"/>
                <w:numId w:val="3"/>
              </w:numPr>
              <w:ind w:left="339"/>
              <w:contextualSpacing/>
              <w:jc w:val="left"/>
              <w:rPr>
                <w:rFonts w:asciiTheme="majorHAnsi" w:hAnsiTheme="majorHAnsi" w:cs="Calibri"/>
                <w:sz w:val="22"/>
                <w:lang w:val="en-GB"/>
              </w:rPr>
            </w:pPr>
            <w:r>
              <w:rPr>
                <w:rFonts w:asciiTheme="majorHAnsi" w:hAnsiTheme="majorHAnsi" w:cs="Calibri"/>
                <w:sz w:val="22"/>
                <w:lang w:val="en-GB"/>
              </w:rPr>
              <w:t xml:space="preserve">Based on the conversations FAO held during the Community Engagement days, a definition of community engagement for empowerment was proposed: </w:t>
            </w:r>
          </w:p>
          <w:p w:rsidR="001675DF" w:rsidRDefault="001675DF">
            <w:pPr>
              <w:pStyle w:val="ListParagraph"/>
              <w:numPr>
                <w:ilvl w:val="0"/>
                <w:numId w:val="0"/>
              </w:numPr>
              <w:spacing w:after="0" w:line="240" w:lineRule="auto"/>
              <w:ind w:left="357"/>
              <w:rPr>
                <w:rFonts w:asciiTheme="majorHAnsi" w:hAnsiTheme="majorHAnsi" w:cs="Calibri"/>
                <w:sz w:val="22"/>
                <w:lang w:val="en-GB"/>
              </w:rPr>
            </w:pPr>
          </w:p>
          <w:p w:rsidR="001675DF" w:rsidRDefault="000E12EB">
            <w:pPr>
              <w:spacing w:after="0"/>
              <w:ind w:left="720"/>
              <w:rPr>
                <w:rFonts w:asciiTheme="majorHAnsi" w:hAnsiTheme="majorHAnsi" w:cstheme="minorHAnsi"/>
              </w:rPr>
            </w:pPr>
            <w:r>
              <w:rPr>
                <w:rFonts w:asciiTheme="majorHAnsi" w:hAnsiTheme="majorHAnsi" w:cstheme="minorHAnsi"/>
                <w:lang w:val="en-GB"/>
              </w:rPr>
              <w:t>“</w:t>
            </w:r>
            <w:r>
              <w:rPr>
                <w:rFonts w:asciiTheme="majorHAnsi" w:hAnsiTheme="majorHAnsi" w:cstheme="minorHAnsi"/>
                <w:b/>
                <w:bCs/>
                <w:i/>
                <w:iCs/>
                <w:lang w:val="en-GB"/>
              </w:rPr>
              <w:t>C</w:t>
            </w:r>
            <w:r>
              <w:rPr>
                <w:rFonts w:asciiTheme="majorHAnsi" w:hAnsiTheme="majorHAnsi" w:cstheme="minorHAnsi"/>
                <w:b/>
                <w:bCs/>
                <w:i/>
                <w:iCs/>
              </w:rPr>
              <w:t>ommunity engagement for empowerm</w:t>
            </w:r>
            <w:r>
              <w:rPr>
                <w:rFonts w:asciiTheme="majorHAnsi" w:hAnsiTheme="majorHAnsi" w:cstheme="minorHAnsi"/>
                <w:b/>
                <w:bCs/>
                <w:i/>
                <w:iCs/>
              </w:rPr>
              <w:t>ent and community-led collective action</w:t>
            </w:r>
            <w:r>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w:t>
            </w:r>
            <w:r>
              <w:rPr>
                <w:rFonts w:asciiTheme="majorHAnsi" w:hAnsiTheme="majorHAnsi" w:cstheme="minorHAnsi"/>
                <w:i/>
                <w:iCs/>
              </w:rPr>
              <w:t>ity to achieve sustainable outcomes for improved rural livelihoods. Embracing a rights-based approach, it prioritizes the agency and participation of all community members, regardless of gender identity, sexual orientation, age, ethnicity, caste, socioecon</w:t>
            </w:r>
            <w:r>
              <w:rPr>
                <w:rFonts w:asciiTheme="majorHAnsi" w:hAnsiTheme="majorHAnsi" w:cstheme="minorHAnsi"/>
                <w:i/>
                <w:iCs/>
              </w:rPr>
              <w:t>omic status, political affiliation, migration status, or ability/disability. Indeed, inclusive approaches recognize the complexities of overlapping marginalization and discrimination that can exclude different community members from decision-making process</w:t>
            </w:r>
            <w:r>
              <w:rPr>
                <w:rFonts w:asciiTheme="majorHAnsi" w:hAnsiTheme="majorHAnsi" w:cstheme="minorHAnsi"/>
                <w:i/>
                <w:iCs/>
              </w:rPr>
              <w:t xml:space="preserve">es and implement strategies to foster their participation, agency and empowerment.” </w:t>
            </w:r>
            <w:r>
              <w:rPr>
                <w:rFonts w:asciiTheme="majorHAnsi" w:hAnsiTheme="majorHAnsi" w:cstheme="minorHAnsi"/>
              </w:rPr>
              <w:t xml:space="preserve"> </w:t>
            </w:r>
          </w:p>
          <w:p w:rsidR="001675DF" w:rsidRDefault="001675DF">
            <w:pPr>
              <w:spacing w:after="0"/>
              <w:rPr>
                <w:rFonts w:asciiTheme="majorHAnsi" w:hAnsiTheme="majorHAnsi" w:cs="Calibri"/>
                <w:sz w:val="22"/>
              </w:rPr>
            </w:pPr>
          </w:p>
          <w:p w:rsidR="001675DF" w:rsidRDefault="000E12EB">
            <w:pPr>
              <w:pStyle w:val="ListParagraph"/>
              <w:numPr>
                <w:ilvl w:val="0"/>
                <w:numId w:val="0"/>
              </w:numPr>
              <w:spacing w:after="0" w:line="240" w:lineRule="auto"/>
              <w:ind w:left="720"/>
              <w:rPr>
                <w:rStyle w:val="Strong"/>
                <w:rFonts w:asciiTheme="majorHAnsi" w:hAnsiTheme="majorHAnsi" w:cs="Calibri"/>
                <w:b w:val="0"/>
                <w:bCs w:val="0"/>
                <w:sz w:val="22"/>
              </w:rPr>
            </w:pPr>
            <w:r>
              <w:rPr>
                <w:rStyle w:val="Strong"/>
                <w:rFonts w:asciiTheme="majorHAnsi" w:hAnsiTheme="majorHAnsi" w:cs="Calibri"/>
                <w:sz w:val="22"/>
              </w:rPr>
              <w:t>We invite you to contribute to this definition. What would you add or change?</w:t>
            </w:r>
            <w:r>
              <w:rPr>
                <w:rStyle w:val="Strong"/>
                <w:rFonts w:asciiTheme="majorHAnsi" w:hAnsiTheme="majorHAnsi" w:cs="Calibri"/>
                <w:b w:val="0"/>
                <w:bCs w:val="0"/>
                <w:sz w:val="22"/>
              </w:rPr>
              <w:t xml:space="preserve"> </w:t>
            </w:r>
          </w:p>
          <w:p w:rsidR="001675DF" w:rsidRDefault="001675DF">
            <w:pPr>
              <w:spacing w:after="0"/>
              <w:ind w:left="360" w:hanging="360"/>
              <w:rPr>
                <w:rFonts w:asciiTheme="majorHAnsi" w:hAnsiTheme="majorHAnsi" w:cs="Calibri"/>
                <w:sz w:val="22"/>
              </w:rPr>
            </w:pPr>
          </w:p>
          <w:p w:rsidR="001675DF" w:rsidRDefault="000E12EB">
            <w:pPr>
              <w:spacing w:after="0"/>
              <w:ind w:left="360" w:hanging="360"/>
              <w:rPr>
                <w:rFonts w:asciiTheme="majorHAnsi" w:hAnsiTheme="majorHAnsi" w:cs="Calibri"/>
                <w:sz w:val="22"/>
              </w:rPr>
            </w:pPr>
            <w:r>
              <w:rPr>
                <w:rFonts w:asciiTheme="majorHAnsi" w:hAnsiTheme="majorHAnsi" w:cs="Calibri"/>
                <w:sz w:val="22"/>
              </w:rPr>
              <w:t>Several key areas for improvement remain, such as:</w:t>
            </w:r>
          </w:p>
          <w:p w:rsidR="001675DF" w:rsidRDefault="001675DF">
            <w:pPr>
              <w:spacing w:after="0"/>
              <w:ind w:left="360" w:hanging="360"/>
              <w:rPr>
                <w:rFonts w:asciiTheme="majorHAnsi" w:hAnsiTheme="majorHAnsi" w:cs="Calibri"/>
                <w:sz w:val="22"/>
              </w:rPr>
            </w:pPr>
          </w:p>
          <w:p w:rsidR="001675DF" w:rsidRDefault="000E12EB">
            <w:pPr>
              <w:pStyle w:val="ListParagraph"/>
              <w:numPr>
                <w:ilvl w:val="0"/>
                <w:numId w:val="9"/>
              </w:numPr>
              <w:spacing w:after="0"/>
              <w:rPr>
                <w:rFonts w:asciiTheme="majorHAnsi" w:hAnsiTheme="majorHAnsi" w:cs="Calibri"/>
                <w:sz w:val="22"/>
              </w:rPr>
            </w:pPr>
            <w:r>
              <w:rPr>
                <w:rFonts w:asciiTheme="majorHAnsi" w:hAnsiTheme="majorHAnsi" w:cs="Calibri"/>
                <w:sz w:val="22"/>
              </w:rPr>
              <w:t xml:space="preserve">Equity and Inclusion: Ensuring fair </w:t>
            </w:r>
            <w:r>
              <w:rPr>
                <w:rFonts w:asciiTheme="majorHAnsi" w:hAnsiTheme="majorHAnsi" w:cs="Calibri"/>
                <w:sz w:val="22"/>
              </w:rPr>
              <w:t>representation and support for marginalized groups, including women, youth, the elderly, and people with disabilities.</w:t>
            </w:r>
          </w:p>
          <w:p w:rsidR="001675DF" w:rsidRDefault="000E12EB">
            <w:pPr>
              <w:pStyle w:val="ListParagraph"/>
              <w:numPr>
                <w:ilvl w:val="0"/>
                <w:numId w:val="9"/>
              </w:numPr>
              <w:spacing w:after="0"/>
              <w:rPr>
                <w:rFonts w:asciiTheme="majorHAnsi" w:hAnsiTheme="majorHAnsi" w:cs="Calibri"/>
                <w:sz w:val="22"/>
              </w:rPr>
            </w:pPr>
            <w:r>
              <w:rPr>
                <w:rFonts w:asciiTheme="majorHAnsi" w:hAnsiTheme="majorHAnsi" w:cs="Calibri"/>
                <w:sz w:val="22"/>
              </w:rPr>
              <w:t>Capacity Building: Enhancing the long-term viability of community initiatives by strengthening local skills and leadership abilities.</w:t>
            </w:r>
          </w:p>
          <w:p w:rsidR="001675DF" w:rsidRDefault="000E12EB">
            <w:pPr>
              <w:pStyle w:val="ListParagraph"/>
              <w:numPr>
                <w:ilvl w:val="0"/>
                <w:numId w:val="9"/>
              </w:numPr>
              <w:spacing w:after="0"/>
              <w:rPr>
                <w:rFonts w:asciiTheme="majorHAnsi" w:hAnsiTheme="majorHAnsi" w:cs="Calibri"/>
                <w:sz w:val="22"/>
              </w:rPr>
            </w:pPr>
            <w:r>
              <w:rPr>
                <w:rFonts w:asciiTheme="majorHAnsi" w:hAnsiTheme="majorHAnsi" w:cs="Calibri"/>
                <w:sz w:val="22"/>
              </w:rPr>
              <w:t>Sus</w:t>
            </w:r>
            <w:r>
              <w:rPr>
                <w:rFonts w:asciiTheme="majorHAnsi" w:hAnsiTheme="majorHAnsi" w:cs="Calibri"/>
                <w:sz w:val="22"/>
              </w:rPr>
              <w:t>tainability and Support: Developing mechanisms that ensure ongoing support and resources for community engagement activities over time.</w:t>
            </w:r>
          </w:p>
        </w:tc>
      </w:tr>
      <w:tr w:rsidR="001675DF">
        <w:trPr>
          <w:trHeight w:val="865"/>
        </w:trPr>
        <w:tc>
          <w:tcPr>
            <w:tcW w:w="5000" w:type="pct"/>
            <w:gridSpan w:val="2"/>
          </w:tcPr>
          <w:p w:rsidR="001675DF" w:rsidRDefault="000E12EB">
            <w:pPr>
              <w:pStyle w:val="ListParagraph"/>
              <w:numPr>
                <w:ilvl w:val="0"/>
                <w:numId w:val="3"/>
              </w:numPr>
              <w:ind w:left="339"/>
              <w:contextualSpacing/>
              <w:jc w:val="left"/>
              <w:rPr>
                <w:rFonts w:asciiTheme="majorHAnsi" w:hAnsiTheme="majorHAnsi" w:cs="Calibri"/>
                <w:sz w:val="22"/>
                <w:lang w:val="en-GB"/>
              </w:rPr>
            </w:pPr>
            <w:r>
              <w:rPr>
                <w:rFonts w:asciiTheme="majorHAnsi" w:hAnsiTheme="majorHAnsi" w:cs="Calibri"/>
                <w:color w:val="000000" w:themeColor="text1"/>
                <w:sz w:val="22"/>
                <w:lang w:val="en-GB" w:eastAsia="en-GB"/>
              </w:rPr>
              <w:lastRenderedPageBreak/>
              <w:t xml:space="preserve">Based on your experience, what </w:t>
            </w:r>
            <w:r>
              <w:rPr>
                <w:rFonts w:asciiTheme="majorHAnsi" w:hAnsiTheme="majorHAnsi" w:cs="Calibri"/>
                <w:b/>
                <w:bCs/>
                <w:color w:val="000000" w:themeColor="text1"/>
                <w:sz w:val="22"/>
                <w:lang w:val="en-GB" w:eastAsia="en-GB"/>
              </w:rPr>
              <w:t xml:space="preserve">gaps or areas for improvement </w:t>
            </w:r>
            <w:r>
              <w:rPr>
                <w:rFonts w:asciiTheme="majorHAnsi" w:hAnsiTheme="majorHAnsi" w:cs="Calibri"/>
                <w:color w:val="000000" w:themeColor="text1"/>
                <w:sz w:val="22"/>
                <w:lang w:eastAsia="en-GB"/>
              </w:rPr>
              <w:t>still need to be addressed</w:t>
            </w:r>
            <w:r>
              <w:rPr>
                <w:rFonts w:asciiTheme="majorHAnsi" w:hAnsiTheme="majorHAnsi" w:cs="Calibri"/>
                <w:b/>
                <w:bCs/>
                <w:color w:val="000000" w:themeColor="text1"/>
                <w:sz w:val="22"/>
                <w:lang w:val="en-GB" w:eastAsia="en-GB"/>
              </w:rPr>
              <w:t xml:space="preserve"> in the field of community engag</w:t>
            </w:r>
            <w:r>
              <w:rPr>
                <w:rFonts w:asciiTheme="majorHAnsi" w:hAnsiTheme="majorHAnsi" w:cs="Calibri"/>
                <w:b/>
                <w:bCs/>
                <w:color w:val="000000" w:themeColor="text1"/>
                <w:sz w:val="22"/>
                <w:lang w:val="en-GB" w:eastAsia="en-GB"/>
              </w:rPr>
              <w:t>ement?</w:t>
            </w:r>
            <w:r>
              <w:rPr>
                <w:rFonts w:asciiTheme="majorHAnsi" w:hAnsiTheme="majorHAnsi" w:cs="Calibri"/>
                <w:color w:val="000000" w:themeColor="text1"/>
                <w:sz w:val="22"/>
                <w:lang w:val="en-GB" w:eastAsia="en-GB"/>
              </w:rPr>
              <w:t xml:space="preserve">  </w:t>
            </w:r>
          </w:p>
          <w:p w:rsidR="001675DF" w:rsidRDefault="000E12EB">
            <w:pPr>
              <w:pStyle w:val="ListParagraph"/>
              <w:numPr>
                <w:ilvl w:val="0"/>
                <w:numId w:val="0"/>
              </w:numPr>
              <w:ind w:left="1440"/>
            </w:pPr>
            <w:r>
              <w:t>Gaps or areas for improvement in the field of community engagement.</w:t>
            </w:r>
          </w:p>
          <w:p w:rsidR="001675DF" w:rsidRDefault="000E12EB">
            <w:pPr>
              <w:pStyle w:val="ListParagraph"/>
              <w:numPr>
                <w:ilvl w:val="0"/>
                <w:numId w:val="0"/>
              </w:numPr>
              <w:ind w:left="1440"/>
            </w:pPr>
            <w:r>
              <w:t xml:space="preserve">The following gaps or areas for improvements in the field of community engagement have been identified. These include, but not limited to, </w:t>
            </w:r>
          </w:p>
          <w:p w:rsidR="001675DF" w:rsidRDefault="000E12EB">
            <w:pPr>
              <w:pStyle w:val="ListParagraph"/>
              <w:numPr>
                <w:ilvl w:val="0"/>
                <w:numId w:val="10"/>
              </w:numPr>
              <w:contextualSpacing/>
              <w:jc w:val="left"/>
            </w:pPr>
            <w:r>
              <w:t xml:space="preserve">interpretation of appropriate </w:t>
            </w:r>
            <w:r>
              <w:t>technology,</w:t>
            </w:r>
          </w:p>
          <w:p w:rsidR="001675DF" w:rsidRDefault="000E12EB">
            <w:pPr>
              <w:pStyle w:val="ListParagraph"/>
              <w:numPr>
                <w:ilvl w:val="0"/>
                <w:numId w:val="10"/>
              </w:numPr>
              <w:contextualSpacing/>
              <w:jc w:val="left"/>
            </w:pPr>
            <w:r>
              <w:t>gender equity.</w:t>
            </w:r>
          </w:p>
          <w:p w:rsidR="001675DF" w:rsidRDefault="000E12EB">
            <w:pPr>
              <w:pStyle w:val="ListParagraph"/>
              <w:numPr>
                <w:ilvl w:val="0"/>
                <w:numId w:val="10"/>
              </w:numPr>
              <w:contextualSpacing/>
              <w:jc w:val="left"/>
            </w:pPr>
            <w:r>
              <w:t xml:space="preserve"> funding by relevant actors/stakeholders. </w:t>
            </w:r>
          </w:p>
          <w:p w:rsidR="001675DF" w:rsidRDefault="000E12EB">
            <w:pPr>
              <w:pStyle w:val="ListParagraph"/>
              <w:numPr>
                <w:ilvl w:val="0"/>
                <w:numId w:val="10"/>
              </w:numPr>
              <w:contextualSpacing/>
              <w:jc w:val="left"/>
            </w:pPr>
            <w:r>
              <w:t xml:space="preserve">Rapport evaluation is very important in improving the field as this will entail conducting SWOT analysis (strength, weakness, opportunities, and threats) of the practices. </w:t>
            </w:r>
          </w:p>
          <w:p w:rsidR="001675DF" w:rsidRDefault="001675DF">
            <w:pPr>
              <w:pStyle w:val="ListParagraph"/>
              <w:numPr>
                <w:ilvl w:val="0"/>
                <w:numId w:val="0"/>
              </w:numPr>
              <w:ind w:left="339"/>
              <w:contextualSpacing/>
              <w:jc w:val="left"/>
              <w:rPr>
                <w:rFonts w:asciiTheme="majorHAnsi" w:hAnsiTheme="majorHAnsi" w:cs="Calibri"/>
                <w:sz w:val="22"/>
                <w:lang w:val="en-GB"/>
              </w:rPr>
            </w:pPr>
          </w:p>
        </w:tc>
      </w:tr>
      <w:tr w:rsidR="001675DF">
        <w:trPr>
          <w:trHeight w:val="369"/>
        </w:trPr>
        <w:tc>
          <w:tcPr>
            <w:tcW w:w="5000" w:type="pct"/>
            <w:gridSpan w:val="2"/>
          </w:tcPr>
          <w:p w:rsidR="001675DF" w:rsidRDefault="000E12EB">
            <w:pPr>
              <w:pStyle w:val="ListParagraph"/>
              <w:numPr>
                <w:ilvl w:val="0"/>
                <w:numId w:val="3"/>
              </w:numPr>
              <w:spacing w:after="0"/>
              <w:ind w:left="332"/>
              <w:contextualSpacing/>
            </w:pPr>
            <w:r>
              <w:rPr>
                <w:rFonts w:asciiTheme="majorHAnsi" w:hAnsiTheme="majorHAnsi" w:cs="Calibri"/>
                <w:sz w:val="22"/>
                <w:lang w:val="en-GB" w:eastAsia="en-GB"/>
              </w:rPr>
              <w:t>What do you</w:t>
            </w:r>
            <w:r>
              <w:rPr>
                <w:rFonts w:asciiTheme="majorHAnsi" w:hAnsiTheme="majorHAnsi" w:cs="Calibri"/>
                <w:sz w:val="22"/>
                <w:lang w:val="en-GB" w:eastAsia="en-GB"/>
              </w:rPr>
              <w:t xml:space="preserve"> think is </w:t>
            </w:r>
            <w:r>
              <w:rPr>
                <w:rFonts w:asciiTheme="majorHAnsi" w:hAnsiTheme="majorHAnsi" w:cs="Calibri"/>
                <w:b/>
                <w:bCs/>
                <w:sz w:val="22"/>
                <w:lang w:val="en-GB" w:eastAsia="en-GB"/>
              </w:rPr>
              <w:t>FAO's role in the field of community engagement</w:t>
            </w:r>
            <w:r>
              <w:rPr>
                <w:rFonts w:asciiTheme="majorHAnsi" w:hAnsiTheme="majorHAnsi" w:cs="Calibri"/>
                <w:sz w:val="22"/>
                <w:lang w:val="en-GB" w:eastAsia="en-GB"/>
              </w:rPr>
              <w:t xml:space="preserve">? How can FAO support and enhance interventions like yours, if applicable? </w:t>
            </w:r>
            <w:r>
              <w:rPr>
                <w:rFonts w:asciiTheme="majorHAnsi" w:hAnsiTheme="majorHAnsi" w:cs="Calibri"/>
                <w:i/>
                <w:iCs/>
                <w:sz w:val="22"/>
                <w:lang w:val="en-GB" w:eastAsia="en-GB"/>
              </w:rPr>
              <w:t xml:space="preserve">Consider aspects such as policy advocacy, capacity development, funding, technical assistance, knowledge production and </w:t>
            </w:r>
            <w:r>
              <w:rPr>
                <w:rFonts w:asciiTheme="majorHAnsi" w:hAnsiTheme="majorHAnsi" w:cs="Calibri"/>
                <w:i/>
                <w:iCs/>
                <w:sz w:val="22"/>
                <w:lang w:val="en-GB" w:eastAsia="en-GB"/>
              </w:rPr>
              <w:t>sharing, and fostering partnerships.</w:t>
            </w:r>
          </w:p>
          <w:p w:rsidR="001675DF" w:rsidRDefault="000E12EB">
            <w:pPr>
              <w:ind w:left="1440"/>
            </w:pPr>
            <w:r>
              <w:t>Policy Advocacy: FAO can advocate for policies promoting community engagement, sustainable agriculture, and rural development.</w:t>
            </w:r>
          </w:p>
          <w:p w:rsidR="001675DF" w:rsidRDefault="000E12EB">
            <w:pPr>
              <w:ind w:left="1440"/>
            </w:pPr>
            <w:r>
              <w:t xml:space="preserve">Capacity Development: Facilitate training and technical support to enhance local skills and </w:t>
            </w:r>
            <w:r>
              <w:t>leadership.</w:t>
            </w:r>
          </w:p>
          <w:p w:rsidR="001675DF" w:rsidRDefault="000E12EB">
            <w:pPr>
              <w:ind w:left="1440"/>
            </w:pPr>
            <w:r>
              <w:t>Technical Assistance: Provide resource-poor nations with affordable equipment to boost productivity.</w:t>
            </w:r>
          </w:p>
          <w:p w:rsidR="001675DF" w:rsidRDefault="000E12EB">
            <w:pPr>
              <w:ind w:left="1440"/>
            </w:pPr>
            <w:r>
              <w:t>Funding: Offer grants to support proven community engagement projects.</w:t>
            </w:r>
          </w:p>
          <w:p w:rsidR="001675DF" w:rsidRDefault="000E12EB">
            <w:pPr>
              <w:ind w:left="1440"/>
            </w:pPr>
            <w:r>
              <w:t xml:space="preserve">Knowledge Sharing: Generate and disseminate best practices and research </w:t>
            </w:r>
            <w:r>
              <w:t>to enhance learning.</w:t>
            </w:r>
          </w:p>
          <w:p w:rsidR="001675DF" w:rsidRDefault="001675DF">
            <w:pPr>
              <w:ind w:left="1440"/>
            </w:pPr>
          </w:p>
          <w:p w:rsidR="001675DF" w:rsidRDefault="000E12EB">
            <w:pPr>
              <w:ind w:left="1440"/>
            </w:pPr>
            <w:r>
              <w:t>Partnership Building: Foster collaborations among governments, organizations, and local stakeholders to scale impactful initiatives.</w:t>
            </w:r>
            <w:r>
              <w:t>Funding FAO can support resource poor nations. With take up grants, execute community engagement proje</w:t>
            </w:r>
            <w:r>
              <w:t>cts that have been tested and proven to be good in other regions of the world.</w:t>
            </w:r>
          </w:p>
          <w:p w:rsidR="001675DF" w:rsidRDefault="001675DF">
            <w:pPr>
              <w:pStyle w:val="ListParagraph"/>
              <w:numPr>
                <w:ilvl w:val="0"/>
                <w:numId w:val="0"/>
              </w:numPr>
              <w:spacing w:after="0"/>
              <w:ind w:left="332"/>
              <w:contextualSpacing/>
              <w:rPr>
                <w:rFonts w:asciiTheme="majorHAnsi" w:hAnsiTheme="majorHAnsi" w:cs="Calibri"/>
                <w:sz w:val="22"/>
              </w:rPr>
            </w:pPr>
          </w:p>
          <w:p w:rsidR="001675DF" w:rsidRDefault="001675DF">
            <w:pPr>
              <w:pStyle w:val="ListParagraph"/>
              <w:numPr>
                <w:ilvl w:val="0"/>
                <w:numId w:val="0"/>
              </w:numPr>
              <w:spacing w:after="0"/>
              <w:ind w:left="332"/>
              <w:contextualSpacing/>
              <w:rPr>
                <w:rFonts w:asciiTheme="majorHAnsi" w:hAnsiTheme="majorHAnsi" w:cs="Calibri"/>
                <w:sz w:val="22"/>
              </w:rPr>
            </w:pPr>
          </w:p>
        </w:tc>
      </w:tr>
      <w:tr w:rsidR="001675DF">
        <w:trPr>
          <w:trHeight w:val="1215"/>
        </w:trPr>
        <w:tc>
          <w:tcPr>
            <w:tcW w:w="2484" w:type="pct"/>
          </w:tcPr>
          <w:p w:rsidR="001675DF" w:rsidRDefault="000E12EB">
            <w:pPr>
              <w:spacing w:before="200" w:after="160" w:line="259" w:lineRule="auto"/>
              <w:contextualSpacing/>
              <w:jc w:val="left"/>
              <w:rPr>
                <w:rFonts w:asciiTheme="majorHAnsi" w:eastAsia="Calibri" w:hAnsiTheme="majorHAnsi" w:cs="Calibri"/>
                <w:b/>
                <w:bCs/>
                <w:sz w:val="22"/>
              </w:rPr>
            </w:pPr>
            <w:bookmarkStart w:id="2" w:name="_Hlk166153579"/>
            <w:r>
              <w:rPr>
                <w:rFonts w:asciiTheme="majorHAnsi" w:eastAsia="Calibri" w:hAnsiTheme="majorHAnsi" w:cs="Calibri"/>
                <w:b/>
                <w:bCs/>
                <w:sz w:val="22"/>
              </w:rPr>
              <w:lastRenderedPageBreak/>
              <w:t>Link(s) to specific references about your good practice (e.g. reports, communication products, videos, articles)</w:t>
            </w:r>
          </w:p>
        </w:tc>
        <w:tc>
          <w:tcPr>
            <w:tcW w:w="2516" w:type="pct"/>
          </w:tcPr>
          <w:p w:rsidR="001675DF" w:rsidRDefault="000E12EB">
            <w:pPr>
              <w:spacing w:before="200" w:after="240"/>
              <w:contextualSpacing/>
              <w:rPr>
                <w:rFonts w:asciiTheme="majorHAnsi" w:eastAsia="Calibri" w:hAnsiTheme="majorHAnsi" w:cs="Calibri"/>
                <w:sz w:val="22"/>
              </w:rPr>
            </w:pPr>
            <w:r>
              <w:rPr>
                <w:rFonts w:asciiTheme="majorHAnsi" w:eastAsia="Calibri" w:hAnsiTheme="majorHAnsi" w:cs="Calibri"/>
                <w:i/>
                <w:iCs/>
                <w:sz w:val="22"/>
              </w:rPr>
              <w:t>Please include attachment(s) or add here link(s) to documents</w:t>
            </w:r>
            <w:r>
              <w:rPr>
                <w:rFonts w:asciiTheme="majorHAnsi" w:eastAsia="Calibri" w:hAnsiTheme="majorHAnsi" w:cs="Calibri"/>
                <w:i/>
                <w:iCs/>
                <w:sz w:val="22"/>
              </w:rPr>
              <w:t>/videos/podcasts/other with specific references.</w:t>
            </w:r>
          </w:p>
          <w:p w:rsidR="001675DF" w:rsidRDefault="001675DF">
            <w:pPr>
              <w:numPr>
                <w:ilvl w:val="0"/>
                <w:numId w:val="11"/>
              </w:numPr>
              <w:spacing w:before="200" w:after="0"/>
              <w:contextualSpacing/>
              <w:rPr>
                <w:rFonts w:asciiTheme="majorHAnsi" w:eastAsia="Calibri" w:hAnsiTheme="majorHAnsi"/>
                <w:sz w:val="22"/>
              </w:rPr>
            </w:pPr>
          </w:p>
          <w:p w:rsidR="001675DF" w:rsidRDefault="000E12EB">
            <w:pPr>
              <w:spacing w:before="200" w:after="0"/>
              <w:contextualSpacing/>
              <w:rPr>
                <w:rStyle w:val="FollowedHyperlink"/>
                <w:rFonts w:asciiTheme="majorHAnsi" w:eastAsia="Calibri" w:hAnsiTheme="majorHAnsi"/>
                <w:sz w:val="22"/>
              </w:rPr>
            </w:pPr>
            <w:r>
              <w:rPr>
                <w:rFonts w:asciiTheme="majorHAnsi" w:eastAsia="Calibri" w:hAnsiTheme="majorHAnsi"/>
                <w:sz w:val="22"/>
              </w:rPr>
              <w:fldChar w:fldCharType="begin"/>
            </w:r>
            <w:r>
              <w:rPr>
                <w:rFonts w:asciiTheme="majorHAnsi" w:eastAsia="Calibri" w:hAnsiTheme="majorHAnsi"/>
                <w:sz w:val="22"/>
              </w:rPr>
              <w:instrText xml:space="preserve"> HYPERLINK "https://drive.google.com/file/d/1TeFjphZeL10IYZg5oPhu5es8aAvM4DyS/view?usp=drive_link" </w:instrText>
            </w:r>
            <w:r>
              <w:rPr>
                <w:rFonts w:asciiTheme="majorHAnsi" w:eastAsia="Calibri" w:hAnsiTheme="majorHAnsi"/>
                <w:sz w:val="22"/>
              </w:rPr>
              <w:fldChar w:fldCharType="separate"/>
            </w:r>
            <w:r>
              <w:rPr>
                <w:rStyle w:val="FollowedHyperlink"/>
                <w:rFonts w:asciiTheme="majorHAnsi" w:eastAsia="Calibri" w:hAnsiTheme="majorHAnsi"/>
                <w:sz w:val="22"/>
              </w:rPr>
              <w:t>https://drive.google.com/file/d/1TeFjphZeL10IYZg5oPhu5es8aAvM4DyS/view?usp=drive_link</w:t>
            </w:r>
            <w:r>
              <w:rPr>
                <w:rStyle w:val="FollowedHyperlink"/>
                <w:rFonts w:asciiTheme="majorHAnsi" w:eastAsia="Calibri" w:hAnsiTheme="majorHAnsi"/>
                <w:sz w:val="22"/>
              </w:rPr>
              <w:t xml:space="preserve"> </w:t>
            </w:r>
          </w:p>
          <w:p w:rsidR="001675DF" w:rsidRDefault="000E12EB">
            <w:pPr>
              <w:spacing w:before="200" w:after="0"/>
              <w:contextualSpacing/>
              <w:rPr>
                <w:rFonts w:asciiTheme="majorHAnsi" w:eastAsia="Calibri" w:hAnsiTheme="majorHAnsi"/>
                <w:sz w:val="22"/>
              </w:rPr>
            </w:pPr>
            <w:r>
              <w:rPr>
                <w:rFonts w:asciiTheme="majorHAnsi" w:eastAsia="Calibri" w:hAnsiTheme="majorHAnsi"/>
                <w:sz w:val="22"/>
              </w:rPr>
              <w:fldChar w:fldCharType="end"/>
            </w:r>
          </w:p>
          <w:p w:rsidR="001675DF" w:rsidRDefault="001675DF">
            <w:pPr>
              <w:numPr>
                <w:ilvl w:val="0"/>
                <w:numId w:val="11"/>
              </w:numPr>
              <w:spacing w:before="200" w:after="0"/>
              <w:contextualSpacing/>
              <w:rPr>
                <w:rFonts w:asciiTheme="majorHAnsi" w:eastAsia="Calibri" w:hAnsiTheme="majorHAnsi"/>
                <w:sz w:val="22"/>
              </w:rPr>
            </w:pPr>
          </w:p>
          <w:p w:rsidR="001675DF" w:rsidRDefault="000E12EB">
            <w:pPr>
              <w:spacing w:before="200" w:after="0"/>
              <w:contextualSpacing/>
              <w:rPr>
                <w:rFonts w:asciiTheme="majorHAnsi" w:eastAsia="Calibri" w:hAnsiTheme="majorHAnsi"/>
                <w:sz w:val="22"/>
              </w:rPr>
            </w:pPr>
            <w:hyperlink r:id="rId15" w:history="1">
              <w:r>
                <w:rPr>
                  <w:rStyle w:val="FollowedHyperlink"/>
                  <w:rFonts w:asciiTheme="majorHAnsi" w:eastAsia="Calibri" w:hAnsiTheme="majorHAnsi"/>
                  <w:sz w:val="22"/>
                </w:rPr>
                <w:t>https://docs.google.com/document/d/1flWo_Oq99ld87LdKG2irYsipQ70j6hUg/edit?usp=drive_link&amp;ouid=109865257765764587184&amp;rtpo</w:t>
              </w:r>
              <w:r>
                <w:rPr>
                  <w:rStyle w:val="FollowedHyperlink"/>
                  <w:rFonts w:asciiTheme="majorHAnsi" w:eastAsia="Calibri" w:hAnsiTheme="majorHAnsi"/>
                  <w:sz w:val="22"/>
                </w:rPr>
                <w:t>f=true&amp;sd=true</w:t>
              </w:r>
            </w:hyperlink>
            <w:r>
              <w:rPr>
                <w:rFonts w:asciiTheme="majorHAnsi" w:eastAsia="Calibri" w:hAnsiTheme="majorHAnsi"/>
                <w:sz w:val="22"/>
              </w:rPr>
              <w:t xml:space="preserve"> </w:t>
            </w:r>
          </w:p>
          <w:p w:rsidR="001675DF" w:rsidRDefault="001675DF">
            <w:pPr>
              <w:spacing w:before="200" w:after="0"/>
              <w:ind w:left="720"/>
              <w:contextualSpacing/>
              <w:rPr>
                <w:rFonts w:asciiTheme="majorHAnsi" w:eastAsia="Calibri" w:hAnsiTheme="majorHAnsi"/>
                <w:sz w:val="22"/>
              </w:rPr>
            </w:pPr>
          </w:p>
          <w:p w:rsidR="001675DF" w:rsidRDefault="000E12EB">
            <w:pPr>
              <w:spacing w:before="200" w:after="0"/>
              <w:ind w:left="720"/>
              <w:contextualSpacing/>
              <w:rPr>
                <w:rFonts w:asciiTheme="majorHAnsi" w:eastAsia="Calibri" w:hAnsiTheme="majorHAnsi"/>
                <w:sz w:val="22"/>
              </w:rPr>
            </w:pPr>
            <w:r>
              <w:rPr>
                <w:rFonts w:asciiTheme="majorHAnsi" w:eastAsia="Calibri" w:hAnsiTheme="majorHAnsi"/>
                <w:sz w:val="22"/>
              </w:rPr>
              <w:t xml:space="preserve"> </w:t>
            </w:r>
          </w:p>
        </w:tc>
      </w:tr>
    </w:tbl>
    <w:p w:rsidR="001675DF" w:rsidRDefault="001675DF">
      <w:pPr>
        <w:spacing w:after="0"/>
        <w:rPr>
          <w:rFonts w:asciiTheme="majorHAnsi" w:hAnsiTheme="majorHAnsi"/>
          <w:sz w:val="22"/>
          <w:lang w:eastAsia="zh-CN"/>
        </w:rPr>
      </w:pPr>
      <w:bookmarkStart w:id="3" w:name="_GoBack"/>
      <w:bookmarkEnd w:id="2"/>
      <w:bookmarkEnd w:id="3"/>
    </w:p>
    <w:sectPr w:rsidR="001675DF">
      <w:headerReference w:type="default" r:id="rId16"/>
      <w:footerReference w:type="default" r:id="rId17"/>
      <w:headerReference w:type="first" r:id="rId18"/>
      <w:footerReference w:type="first" r:id="rId19"/>
      <w:type w:val="continuous"/>
      <w:pgSz w:w="11907" w:h="1683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2EB" w:rsidRDefault="000E12EB">
      <w:pPr>
        <w:spacing w:after="0"/>
      </w:pPr>
      <w:r>
        <w:separator/>
      </w:r>
    </w:p>
  </w:endnote>
  <w:endnote w:type="continuationSeparator" w:id="0">
    <w:p w:rsidR="000E12EB" w:rsidRDefault="000E12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khbar MT">
    <w:altName w:val="Arial"/>
    <w:charset w:val="B2"/>
    <w:family w:val="auto"/>
    <w:pitch w:val="default"/>
    <w:sig w:usb0="00000000"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swiss"/>
    <w:pitch w:val="default"/>
    <w:sig w:usb0="00000000" w:usb1="00000000"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bottom w:val="single" w:sz="12" w:space="0" w:color="31849B"/>
      </w:tblBorders>
      <w:tblLook w:val="04A0" w:firstRow="1" w:lastRow="0" w:firstColumn="1" w:lastColumn="0" w:noHBand="0" w:noVBand="1"/>
    </w:tblPr>
    <w:tblGrid>
      <w:gridCol w:w="9639"/>
    </w:tblGrid>
    <w:tr w:rsidR="001675DF">
      <w:tc>
        <w:tcPr>
          <w:tcW w:w="9639" w:type="dxa"/>
        </w:tcPr>
        <w:p w:rsidR="001675DF" w:rsidRDefault="001675DF">
          <w:pPr>
            <w:pStyle w:val="Footer"/>
            <w:jc w:val="center"/>
            <w:rPr>
              <w:b/>
              <w:color w:val="C00000"/>
            </w:rPr>
          </w:pPr>
        </w:p>
      </w:tc>
    </w:tr>
  </w:tbl>
  <w:p w:rsidR="001675DF" w:rsidRDefault="001675DF">
    <w:pPr>
      <w:pStyle w:val="Footer"/>
      <w:jc w:val="center"/>
      <w:rPr>
        <w:b/>
        <w:color w:val="C00000"/>
      </w:rPr>
    </w:pPr>
  </w:p>
  <w:p w:rsidR="001675DF" w:rsidRDefault="000E12EB">
    <w:pPr>
      <w:pStyle w:val="Footer"/>
      <w:tabs>
        <w:tab w:val="clear" w:pos="9360"/>
        <w:tab w:val="right" w:pos="9639"/>
      </w:tabs>
      <w:jc w:val="left"/>
      <w:rPr>
        <w:rStyle w:val="Hyperlink"/>
        <w:sz w:val="22"/>
      </w:rPr>
    </w:pPr>
    <w:r>
      <w:rPr>
        <w:color w:val="31849B" w:themeColor="accent5" w:themeShade="BF"/>
        <w:sz w:val="22"/>
      </w:rPr>
      <w:t>Global Forum on Food Security and Nutrition</w:t>
    </w:r>
    <w:r>
      <w:rPr>
        <w:color w:val="31849B" w:themeColor="accent5" w:themeShade="BF"/>
        <w:sz w:val="22"/>
      </w:rPr>
      <w:tab/>
    </w:r>
    <w:r>
      <w:rPr>
        <w:color w:val="C00000"/>
        <w:sz w:val="22"/>
      </w:rPr>
      <w:tab/>
    </w:r>
    <w:hyperlink r:id="rId1" w:history="1">
      <w:r>
        <w:rPr>
          <w:rStyle w:val="Hyperlink"/>
          <w:sz w:val="22"/>
        </w:rPr>
        <w:t>www.fao.org/fsnforum</w:t>
      </w:r>
    </w:hyperlink>
  </w:p>
  <w:p w:rsidR="001675DF" w:rsidRDefault="001675DF">
    <w:pPr>
      <w:pStyle w:val="Footer"/>
      <w:jc w:val="left"/>
      <w:rPr>
        <w:b/>
        <w:color w:val="31849B" w:themeColor="accent5" w:themeShade="B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bottom w:val="single" w:sz="12" w:space="0" w:color="31849B"/>
      </w:tblBorders>
      <w:tblLook w:val="04A0" w:firstRow="1" w:lastRow="0" w:firstColumn="1" w:lastColumn="0" w:noHBand="0" w:noVBand="1"/>
    </w:tblPr>
    <w:tblGrid>
      <w:gridCol w:w="9639"/>
    </w:tblGrid>
    <w:tr w:rsidR="001675DF">
      <w:tc>
        <w:tcPr>
          <w:tcW w:w="9639" w:type="dxa"/>
        </w:tcPr>
        <w:p w:rsidR="001675DF" w:rsidRDefault="001675DF">
          <w:pPr>
            <w:pStyle w:val="Footer"/>
            <w:jc w:val="center"/>
            <w:rPr>
              <w:b/>
              <w:color w:val="C00000"/>
            </w:rPr>
          </w:pPr>
        </w:p>
      </w:tc>
    </w:tr>
  </w:tbl>
  <w:p w:rsidR="001675DF" w:rsidRDefault="001675DF">
    <w:pPr>
      <w:pStyle w:val="Footer"/>
      <w:jc w:val="center"/>
      <w:rPr>
        <w:b/>
        <w:color w:val="C00000"/>
      </w:rPr>
    </w:pPr>
  </w:p>
  <w:p w:rsidR="001675DF" w:rsidRDefault="000E12EB">
    <w:pPr>
      <w:pStyle w:val="Footer"/>
      <w:tabs>
        <w:tab w:val="clear" w:pos="9360"/>
        <w:tab w:val="right" w:pos="9639"/>
      </w:tabs>
      <w:jc w:val="left"/>
      <w:rPr>
        <w:rStyle w:val="Hyperlink"/>
        <w:sz w:val="22"/>
      </w:rPr>
    </w:pPr>
    <w:r>
      <w:rPr>
        <w:color w:val="31849B" w:themeColor="accent5" w:themeShade="BF"/>
        <w:sz w:val="22"/>
      </w:rPr>
      <w:t xml:space="preserve">Global Forum on Food Security </w:t>
    </w:r>
    <w:r>
      <w:rPr>
        <w:color w:val="31849B" w:themeColor="accent5" w:themeShade="BF"/>
        <w:sz w:val="22"/>
      </w:rPr>
      <w:t>and Nutrition</w:t>
    </w:r>
    <w:r>
      <w:rPr>
        <w:color w:val="31849B" w:themeColor="accent5" w:themeShade="BF"/>
        <w:sz w:val="22"/>
      </w:rPr>
      <w:tab/>
    </w:r>
    <w:r>
      <w:rPr>
        <w:color w:val="C00000"/>
        <w:sz w:val="22"/>
      </w:rPr>
      <w:tab/>
    </w:r>
    <w:hyperlink r:id="rId1" w:history="1">
      <w:r>
        <w:rPr>
          <w:rStyle w:val="Hyperlink"/>
          <w:sz w:val="22"/>
        </w:rPr>
        <w:t>www.fao.org/fsnforum</w:t>
      </w:r>
    </w:hyperlink>
  </w:p>
  <w:p w:rsidR="001675DF" w:rsidRDefault="001675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2EB" w:rsidRDefault="000E12EB">
      <w:pPr>
        <w:spacing w:after="0"/>
      </w:pPr>
      <w:r>
        <w:separator/>
      </w:r>
    </w:p>
  </w:footnote>
  <w:footnote w:type="continuationSeparator" w:id="0">
    <w:p w:rsidR="000E12EB" w:rsidRDefault="000E12EB">
      <w:pPr>
        <w:spacing w:after="0"/>
      </w:pPr>
      <w:r>
        <w:continuationSeparator/>
      </w:r>
    </w:p>
  </w:footnote>
  <w:footnote w:id="1">
    <w:p w:rsidR="001675DF" w:rsidRDefault="000E12EB">
      <w:pPr>
        <w:spacing w:after="200"/>
        <w:ind w:left="-5" w:right="19"/>
        <w:rPr>
          <w:rFonts w:asciiTheme="majorHAnsi" w:hAnsiTheme="majorHAnsi"/>
        </w:rPr>
      </w:pPr>
      <w:r>
        <w:rPr>
          <w:rStyle w:val="FootnoteReference"/>
        </w:rPr>
        <w:footnoteRef/>
      </w:r>
      <w:r>
        <w:t xml:space="preserve"> </w:t>
      </w:r>
      <w:r>
        <w:rPr>
          <w:rFonts w:asciiTheme="majorHAnsi" w:hAnsiTheme="majorHAnsi" w:cstheme="minorHAnsi"/>
          <w:sz w:val="18"/>
          <w:szCs w:val="18"/>
        </w:rPr>
        <w:t>The call for submissions is directly aligned with the thematic components of collective action within FAO's Programme Priority Areas (PPAs), specifically Better Life 1 (Gender Equalit</w:t>
      </w:r>
      <w:r>
        <w:rPr>
          <w:rFonts w:asciiTheme="majorHAnsi" w:hAnsiTheme="majorHAnsi" w:cstheme="minorHAnsi"/>
          <w:sz w:val="18"/>
          <w:szCs w:val="18"/>
        </w:rPr>
        <w:t xml:space="preserve">y and Rural Women’s Empowerment), Better Life 2 (Inclusive Rural Transformation) and Better Life 3 (Agriculture and Food Emergencies). </w:t>
      </w:r>
      <w:r>
        <w:rPr>
          <w:rFonts w:asciiTheme="majorHAnsi" w:hAnsiTheme="majorHAnsi" w:cstheme="minorHAnsi"/>
        </w:rPr>
        <w:t xml:space="preserve">  </w:t>
      </w:r>
    </w:p>
    <w:p w:rsidR="001675DF" w:rsidRDefault="001675DF">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80" w:type="pct"/>
      <w:tblInd w:w="115" w:type="dxa"/>
      <w:tblBorders>
        <w:insideV w:val="single" w:sz="4" w:space="0" w:color="215868"/>
      </w:tblBorders>
      <w:tblCellMar>
        <w:top w:w="58" w:type="dxa"/>
        <w:left w:w="115" w:type="dxa"/>
        <w:bottom w:w="58" w:type="dxa"/>
        <w:right w:w="115" w:type="dxa"/>
      </w:tblCellMar>
      <w:tblLook w:val="04A0" w:firstRow="1" w:lastRow="0" w:firstColumn="1" w:lastColumn="0" w:noHBand="0" w:noVBand="1"/>
    </w:tblPr>
    <w:tblGrid>
      <w:gridCol w:w="469"/>
      <w:gridCol w:w="8939"/>
    </w:tblGrid>
    <w:tr w:rsidR="001675DF">
      <w:tc>
        <w:tcPr>
          <w:tcW w:w="249" w:type="pct"/>
          <w:shd w:val="clear" w:color="auto" w:fill="auto"/>
          <w:vAlign w:val="center"/>
        </w:tcPr>
        <w:p w:rsidR="001675DF" w:rsidRDefault="000E12EB">
          <w:pPr>
            <w:pStyle w:val="Header"/>
            <w:jc w:val="center"/>
            <w:rPr>
              <w:color w:val="31849B"/>
              <w:sz w:val="20"/>
              <w:szCs w:val="20"/>
            </w:rPr>
          </w:pPr>
          <w:r>
            <w:rPr>
              <w:color w:val="31849B"/>
              <w:sz w:val="20"/>
              <w:szCs w:val="20"/>
            </w:rPr>
            <w:fldChar w:fldCharType="begin"/>
          </w:r>
          <w:r>
            <w:rPr>
              <w:color w:val="31849B"/>
              <w:sz w:val="20"/>
              <w:szCs w:val="20"/>
            </w:rPr>
            <w:instrText xml:space="preserve"> PAGE   \* MERGEFORMAT </w:instrText>
          </w:r>
          <w:r>
            <w:rPr>
              <w:color w:val="31849B"/>
              <w:sz w:val="20"/>
              <w:szCs w:val="20"/>
            </w:rPr>
            <w:fldChar w:fldCharType="separate"/>
          </w:r>
          <w:r w:rsidR="000D7F7C">
            <w:rPr>
              <w:noProof/>
              <w:color w:val="31849B"/>
              <w:sz w:val="20"/>
              <w:szCs w:val="20"/>
            </w:rPr>
            <w:t>9</w:t>
          </w:r>
          <w:r>
            <w:rPr>
              <w:color w:val="31849B"/>
              <w:sz w:val="20"/>
              <w:szCs w:val="20"/>
            </w:rPr>
            <w:fldChar w:fldCharType="end"/>
          </w:r>
        </w:p>
      </w:tc>
      <w:tc>
        <w:tcPr>
          <w:tcW w:w="4751" w:type="pct"/>
          <w:shd w:val="clear" w:color="auto" w:fill="auto"/>
        </w:tcPr>
        <w:p w:rsidR="001675DF" w:rsidRDefault="000E12EB">
          <w:pPr>
            <w:pStyle w:val="top"/>
            <w:rPr>
              <w:lang w:val="en-GB"/>
            </w:rPr>
          </w:pPr>
          <w:r>
            <w:rPr>
              <w:lang w:val="en-GB"/>
            </w:rPr>
            <w:t>Community engagement for inclusive rural transformation and gender equality</w:t>
          </w:r>
        </w:p>
        <w:p w:rsidR="001675DF" w:rsidRDefault="000E12EB">
          <w:pPr>
            <w:pStyle w:val="top"/>
            <w:rPr>
              <w:lang w:val="en-GB"/>
            </w:rPr>
          </w:pPr>
          <w:r>
            <w:rPr>
              <w:lang w:val="en-GB"/>
            </w:rPr>
            <w:t>CALL FOR SUBMISSIONS</w:t>
          </w:r>
        </w:p>
      </w:tc>
    </w:tr>
  </w:tbl>
  <w:p w:rsidR="001675DF" w:rsidRDefault="001675D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5DF" w:rsidRDefault="000E12EB">
    <w:pPr>
      <w:pStyle w:val="Header"/>
      <w:jc w:val="left"/>
      <w:rPr>
        <w:b/>
        <w:color w:val="FFFFFF"/>
      </w:rPr>
    </w:pPr>
    <w:r>
      <w:t xml:space="preserve"> </w:t>
    </w:r>
    <w:r>
      <w:rPr>
        <w:noProof/>
      </w:rPr>
      <w:drawing>
        <wp:inline distT="0" distB="0" distL="0" distR="0">
          <wp:extent cx="3766820" cy="719455"/>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16451" name="Picture 251716451"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767212" cy="719650"/>
                  </a:xfrm>
                  <a:prstGeom prst="rect">
                    <a:avLst/>
                  </a:prstGeom>
                  <a:noFill/>
                  <a:ln>
                    <a:noFill/>
                  </a:ln>
                </pic:spPr>
              </pic:pic>
            </a:graphicData>
          </a:graphic>
        </wp:inline>
      </w:drawing>
    </w:r>
  </w:p>
  <w:p w:rsidR="001675DF" w:rsidRDefault="001675DF">
    <w:pPr>
      <w:pStyle w:val="Header"/>
      <w:jc w:val="right"/>
      <w:rPr>
        <w:b/>
        <w:color w:val="FFFFFF"/>
      </w:rPr>
    </w:pPr>
  </w:p>
  <w:p w:rsidR="001675DF" w:rsidRDefault="000E12EB">
    <w:pPr>
      <w:pStyle w:val="Heading4"/>
    </w:pPr>
    <w:r>
      <w:rPr>
        <w:noProof/>
      </w:rPr>
      <w:drawing>
        <wp:inline distT="0" distB="0" distL="0" distR="0">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07981" name="Picture 2064207981"/>
                  <pic:cNvPicPr>
                    <a:picLocks noChangeAspect="1"/>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1675DF">
      <w:trPr>
        <w:jc w:val="center"/>
      </w:trPr>
      <w:tc>
        <w:tcPr>
          <w:tcW w:w="9639" w:type="dxa"/>
          <w:shd w:val="clear" w:color="auto" w:fill="DAEEF3" w:themeFill="accent5" w:themeFillTint="33"/>
        </w:tcPr>
        <w:p w:rsidR="001675DF" w:rsidRDefault="000E12EB">
          <w:pPr>
            <w:pStyle w:val="Heading6"/>
            <w:spacing w:before="0" w:after="0"/>
          </w:pPr>
          <w:r>
            <w:t>TEMPLATE FOR SUBMISSIONS</w:t>
          </w:r>
        </w:p>
      </w:tc>
    </w:tr>
    <w:tr w:rsidR="001675DF">
      <w:trPr>
        <w:jc w:val="center"/>
      </w:trPr>
      <w:tc>
        <w:tcPr>
          <w:tcW w:w="9639" w:type="dxa"/>
          <w:shd w:val="clear" w:color="auto" w:fill="FFFFFF" w:themeFill="background1"/>
        </w:tcPr>
        <w:p w:rsidR="001675DF" w:rsidRDefault="000E12EB">
          <w:pPr>
            <w:spacing w:after="0" w:line="276" w:lineRule="auto"/>
            <w:jc w:val="center"/>
            <w:rPr>
              <w:rFonts w:asciiTheme="majorHAnsi" w:hAnsiTheme="majorHAnsi"/>
              <w:b/>
              <w:color w:val="31849B" w:themeColor="accent5" w:themeShade="BF"/>
              <w:sz w:val="22"/>
            </w:rPr>
          </w:pPr>
          <w:r>
            <w:rPr>
              <w:b/>
            </w:rPr>
            <w:t xml:space="preserve">Call for submissions No. 202 </w:t>
          </w:r>
          <w:r>
            <w:rPr>
              <w:rFonts w:ascii="Wingdings" w:hAnsi="Wingdings"/>
              <w:color w:val="31849B" w:themeColor="accent5" w:themeShade="BF"/>
            </w:rPr>
            <w:t></w:t>
          </w:r>
          <w:r>
            <w:rPr>
              <w:b/>
            </w:rPr>
            <w:t xml:space="preserve">  09.10.2024 – 27.11.2024 </w:t>
          </w:r>
          <w:r>
            <w:rPr>
              <w:b/>
              <w:color w:val="31849B" w:themeColor="accent5" w:themeShade="BF"/>
            </w:rPr>
            <w:br/>
          </w:r>
          <w:r>
            <w:rPr>
              <w:noProof/>
            </w:rPr>
            <w:drawing>
              <wp:inline distT="0" distB="0" distL="0" distR="0">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79003"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111760" cy="111760"/>
                        </a:xfrm>
                        <a:prstGeom prst="rect">
                          <a:avLst/>
                        </a:prstGeom>
                        <a:noFill/>
                        <a:ln>
                          <a:noFill/>
                        </a:ln>
                      </pic:spPr>
                    </pic:pic>
                  </a:graphicData>
                </a:graphic>
              </wp:inline>
            </w:drawing>
          </w:r>
          <w:r>
            <w:t xml:space="preserve">  </w:t>
          </w:r>
          <w:hyperlink r:id="rId4" w:history="1">
            <w:r>
              <w:rPr>
                <w:rStyle w:val="Hyperlink"/>
              </w:rPr>
              <w:t>https://www.fao.org/fsnforum/call-submissions/community-engagement-rural-transformation-and-gender-equality</w:t>
            </w:r>
          </w:hyperlink>
        </w:p>
      </w:tc>
    </w:tr>
  </w:tbl>
  <w:p w:rsidR="001675DF" w:rsidRDefault="001675DF">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F6E6C"/>
    <w:multiLevelType w:val="multilevel"/>
    <w:tmpl w:val="0FFF6E6C"/>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259C1950"/>
    <w:multiLevelType w:val="multilevel"/>
    <w:tmpl w:val="259C19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1067926"/>
    <w:multiLevelType w:val="multilevel"/>
    <w:tmpl w:val="31067926"/>
    <w:lvl w:ilvl="0">
      <w:start w:val="1"/>
      <w:numFmt w:val="lowerRoman"/>
      <w:lvlText w:val="%1."/>
      <w:lvlJc w:val="left"/>
      <w:pPr>
        <w:ind w:left="2160" w:hanging="72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nsid w:val="33E941A8"/>
    <w:multiLevelType w:val="multilevel"/>
    <w:tmpl w:val="33E941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3EC1999"/>
    <w:multiLevelType w:val="multilevel"/>
    <w:tmpl w:val="33EC1999"/>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nsid w:val="4DC33AC1"/>
    <w:multiLevelType w:val="singleLevel"/>
    <w:tmpl w:val="4DC33AC1"/>
    <w:lvl w:ilvl="0">
      <w:start w:val="1"/>
      <w:numFmt w:val="decimal"/>
      <w:suff w:val="space"/>
      <w:lvlText w:val="%1."/>
      <w:lvlJc w:val="left"/>
    </w:lvl>
  </w:abstractNum>
  <w:abstractNum w:abstractNumId="6">
    <w:nsid w:val="53176B5B"/>
    <w:multiLevelType w:val="multilevel"/>
    <w:tmpl w:val="53176B5B"/>
    <w:lvl w:ilvl="0">
      <w:start w:val="1"/>
      <w:numFmt w:val="decimal"/>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
    <w:nsid w:val="5FFA4880"/>
    <w:multiLevelType w:val="multilevel"/>
    <w:tmpl w:val="5FFA4880"/>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start w:val="1"/>
      <w:numFmt w:val="decimal"/>
      <w:lvlText w:val="%7."/>
      <w:lvlJc w:val="left"/>
      <w:pPr>
        <w:ind w:left="4320" w:firstLine="0"/>
      </w:pPr>
    </w:lvl>
    <w:lvl w:ilvl="7">
      <w:start w:val="1"/>
      <w:numFmt w:val="lowerLetter"/>
      <w:lvlText w:val="%8."/>
      <w:lvlJc w:val="left"/>
      <w:pPr>
        <w:ind w:left="5040" w:firstLine="0"/>
      </w:pPr>
    </w:lvl>
    <w:lvl w:ilvl="8">
      <w:start w:val="1"/>
      <w:numFmt w:val="lowerRoman"/>
      <w:lvlText w:val="%9."/>
      <w:lvlJc w:val="right"/>
      <w:pPr>
        <w:ind w:left="5940" w:firstLine="0"/>
      </w:pPr>
    </w:lvl>
  </w:abstractNum>
  <w:abstractNum w:abstractNumId="8">
    <w:nsid w:val="62E4211E"/>
    <w:multiLevelType w:val="multilevel"/>
    <w:tmpl w:val="62E4211E"/>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B5B40E5"/>
    <w:multiLevelType w:val="multilevel"/>
    <w:tmpl w:val="6B5B40E5"/>
    <w:lvl w:ilvl="0">
      <w:start w:val="1"/>
      <w:numFmt w:val="lowerRoman"/>
      <w:lvlText w:val="%1."/>
      <w:lvlJc w:val="left"/>
      <w:pPr>
        <w:ind w:left="765" w:hanging="720"/>
      </w:pPr>
      <w:rPr>
        <w:rFonts w:ascii="Cambria" w:hAnsi="Cambria" w:cs="Times New Roman" w:hint="default"/>
        <w:sz w:val="24"/>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0">
    <w:nsid w:val="6E882D36"/>
    <w:multiLevelType w:val="multilevel"/>
    <w:tmpl w:val="6E882D36"/>
    <w:lvl w:ilvl="0">
      <w:start w:val="1"/>
      <w:numFmt w:val="decimal"/>
      <w:pStyle w:val="ListParagraph"/>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0"/>
  </w:num>
  <w:num w:numId="2">
    <w:abstractNumId w:val="7"/>
  </w:num>
  <w:num w:numId="3">
    <w:abstractNumId w:val="8"/>
  </w:num>
  <w:num w:numId="4">
    <w:abstractNumId w:val="4"/>
  </w:num>
  <w:num w:numId="5">
    <w:abstractNumId w:val="6"/>
  </w:num>
  <w:num w:numId="6">
    <w:abstractNumId w:val="1"/>
  </w:num>
  <w:num w:numId="7">
    <w:abstractNumId w:val="3"/>
  </w:num>
  <w:num w:numId="8">
    <w:abstractNumId w:val="0"/>
  </w:num>
  <w:num w:numId="9">
    <w:abstractNumId w:val="9"/>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9C6"/>
    <w:rsid w:val="000008B1"/>
    <w:rsid w:val="00000D64"/>
    <w:rsid w:val="000043AB"/>
    <w:rsid w:val="000055F3"/>
    <w:rsid w:val="00005B86"/>
    <w:rsid w:val="00006130"/>
    <w:rsid w:val="000066A6"/>
    <w:rsid w:val="00007716"/>
    <w:rsid w:val="00013288"/>
    <w:rsid w:val="00013E09"/>
    <w:rsid w:val="0001444D"/>
    <w:rsid w:val="00015040"/>
    <w:rsid w:val="000156F2"/>
    <w:rsid w:val="00016690"/>
    <w:rsid w:val="000172B3"/>
    <w:rsid w:val="000227C7"/>
    <w:rsid w:val="00022BC4"/>
    <w:rsid w:val="000230BD"/>
    <w:rsid w:val="00024193"/>
    <w:rsid w:val="00024380"/>
    <w:rsid w:val="00025F78"/>
    <w:rsid w:val="00025F9F"/>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3D67"/>
    <w:rsid w:val="00056074"/>
    <w:rsid w:val="00056289"/>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31D0"/>
    <w:rsid w:val="00074B4D"/>
    <w:rsid w:val="000750AF"/>
    <w:rsid w:val="00077238"/>
    <w:rsid w:val="00081ACF"/>
    <w:rsid w:val="000857C2"/>
    <w:rsid w:val="00086260"/>
    <w:rsid w:val="000862CA"/>
    <w:rsid w:val="000929E7"/>
    <w:rsid w:val="00094770"/>
    <w:rsid w:val="000A1617"/>
    <w:rsid w:val="000A1DCA"/>
    <w:rsid w:val="000A21CC"/>
    <w:rsid w:val="000A38A8"/>
    <w:rsid w:val="000A647B"/>
    <w:rsid w:val="000A7353"/>
    <w:rsid w:val="000A7AA6"/>
    <w:rsid w:val="000A7F0C"/>
    <w:rsid w:val="000B163E"/>
    <w:rsid w:val="000B1910"/>
    <w:rsid w:val="000B316B"/>
    <w:rsid w:val="000B4BB8"/>
    <w:rsid w:val="000B57E8"/>
    <w:rsid w:val="000B63A7"/>
    <w:rsid w:val="000B77BD"/>
    <w:rsid w:val="000C0471"/>
    <w:rsid w:val="000C0659"/>
    <w:rsid w:val="000C1347"/>
    <w:rsid w:val="000C16DE"/>
    <w:rsid w:val="000C183C"/>
    <w:rsid w:val="000C1980"/>
    <w:rsid w:val="000C3FD2"/>
    <w:rsid w:val="000C661A"/>
    <w:rsid w:val="000C73F9"/>
    <w:rsid w:val="000C752F"/>
    <w:rsid w:val="000C7F12"/>
    <w:rsid w:val="000D0FA5"/>
    <w:rsid w:val="000D2E47"/>
    <w:rsid w:val="000D2F1A"/>
    <w:rsid w:val="000D3A0C"/>
    <w:rsid w:val="000D3EAD"/>
    <w:rsid w:val="000D4FAB"/>
    <w:rsid w:val="000D7430"/>
    <w:rsid w:val="000D7F7C"/>
    <w:rsid w:val="000E03DD"/>
    <w:rsid w:val="000E05B8"/>
    <w:rsid w:val="000E12EB"/>
    <w:rsid w:val="000E1654"/>
    <w:rsid w:val="000E3B6E"/>
    <w:rsid w:val="000E4AC0"/>
    <w:rsid w:val="000E4B6A"/>
    <w:rsid w:val="000E4F0D"/>
    <w:rsid w:val="000E5BDF"/>
    <w:rsid w:val="000E7056"/>
    <w:rsid w:val="000E73E4"/>
    <w:rsid w:val="000F0CC4"/>
    <w:rsid w:val="000F2E23"/>
    <w:rsid w:val="000F5B71"/>
    <w:rsid w:val="000F7CB5"/>
    <w:rsid w:val="0010020C"/>
    <w:rsid w:val="00101020"/>
    <w:rsid w:val="00103710"/>
    <w:rsid w:val="00104726"/>
    <w:rsid w:val="0010494B"/>
    <w:rsid w:val="0010568F"/>
    <w:rsid w:val="00111517"/>
    <w:rsid w:val="0011611D"/>
    <w:rsid w:val="001163FF"/>
    <w:rsid w:val="00116DFF"/>
    <w:rsid w:val="0011717E"/>
    <w:rsid w:val="001209BC"/>
    <w:rsid w:val="00123AC9"/>
    <w:rsid w:val="00123F9C"/>
    <w:rsid w:val="00124651"/>
    <w:rsid w:val="0012494A"/>
    <w:rsid w:val="001306A8"/>
    <w:rsid w:val="00132A9C"/>
    <w:rsid w:val="00132C13"/>
    <w:rsid w:val="00136A0F"/>
    <w:rsid w:val="001379C1"/>
    <w:rsid w:val="00141249"/>
    <w:rsid w:val="001415B2"/>
    <w:rsid w:val="00143489"/>
    <w:rsid w:val="001436D5"/>
    <w:rsid w:val="00144D0C"/>
    <w:rsid w:val="00145E29"/>
    <w:rsid w:val="001467E6"/>
    <w:rsid w:val="001475C1"/>
    <w:rsid w:val="001478FB"/>
    <w:rsid w:val="00153252"/>
    <w:rsid w:val="00153A80"/>
    <w:rsid w:val="00154DB2"/>
    <w:rsid w:val="00155AA5"/>
    <w:rsid w:val="00157DD2"/>
    <w:rsid w:val="001606C9"/>
    <w:rsid w:val="00163000"/>
    <w:rsid w:val="001631C3"/>
    <w:rsid w:val="00164CD0"/>
    <w:rsid w:val="00165DD2"/>
    <w:rsid w:val="001675DF"/>
    <w:rsid w:val="00172C4E"/>
    <w:rsid w:val="0017305F"/>
    <w:rsid w:val="001732FC"/>
    <w:rsid w:val="0017413A"/>
    <w:rsid w:val="001741B4"/>
    <w:rsid w:val="001776D8"/>
    <w:rsid w:val="00180054"/>
    <w:rsid w:val="0018028A"/>
    <w:rsid w:val="001807F5"/>
    <w:rsid w:val="00181E0E"/>
    <w:rsid w:val="00183547"/>
    <w:rsid w:val="001845BC"/>
    <w:rsid w:val="0018478D"/>
    <w:rsid w:val="00185A03"/>
    <w:rsid w:val="001863B0"/>
    <w:rsid w:val="001863FA"/>
    <w:rsid w:val="00190017"/>
    <w:rsid w:val="001907D7"/>
    <w:rsid w:val="001908FC"/>
    <w:rsid w:val="00191B51"/>
    <w:rsid w:val="00192501"/>
    <w:rsid w:val="0019396F"/>
    <w:rsid w:val="001945E3"/>
    <w:rsid w:val="00195DDD"/>
    <w:rsid w:val="001A45EC"/>
    <w:rsid w:val="001B1DC2"/>
    <w:rsid w:val="001B4926"/>
    <w:rsid w:val="001B55D6"/>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6273"/>
    <w:rsid w:val="001F72D4"/>
    <w:rsid w:val="00200019"/>
    <w:rsid w:val="00201777"/>
    <w:rsid w:val="00201F18"/>
    <w:rsid w:val="0020209B"/>
    <w:rsid w:val="00202A2B"/>
    <w:rsid w:val="00204B2A"/>
    <w:rsid w:val="002063DC"/>
    <w:rsid w:val="00207B16"/>
    <w:rsid w:val="00210E9F"/>
    <w:rsid w:val="00212F7A"/>
    <w:rsid w:val="0021329E"/>
    <w:rsid w:val="0021356E"/>
    <w:rsid w:val="00213685"/>
    <w:rsid w:val="00214A7B"/>
    <w:rsid w:val="00215654"/>
    <w:rsid w:val="00220776"/>
    <w:rsid w:val="00220FC1"/>
    <w:rsid w:val="00221581"/>
    <w:rsid w:val="00222579"/>
    <w:rsid w:val="002228EA"/>
    <w:rsid w:val="0022501F"/>
    <w:rsid w:val="002326A5"/>
    <w:rsid w:val="00235327"/>
    <w:rsid w:val="00236D4C"/>
    <w:rsid w:val="002400E0"/>
    <w:rsid w:val="00242466"/>
    <w:rsid w:val="00242954"/>
    <w:rsid w:val="00242BC8"/>
    <w:rsid w:val="00244A42"/>
    <w:rsid w:val="00245034"/>
    <w:rsid w:val="0024649A"/>
    <w:rsid w:val="002475DE"/>
    <w:rsid w:val="00253493"/>
    <w:rsid w:val="00255374"/>
    <w:rsid w:val="00256D72"/>
    <w:rsid w:val="00257BBA"/>
    <w:rsid w:val="00262CFE"/>
    <w:rsid w:val="00262FD8"/>
    <w:rsid w:val="00264534"/>
    <w:rsid w:val="002655A7"/>
    <w:rsid w:val="00265980"/>
    <w:rsid w:val="00265E0E"/>
    <w:rsid w:val="00265E6A"/>
    <w:rsid w:val="002660D4"/>
    <w:rsid w:val="00270F2C"/>
    <w:rsid w:val="002732DA"/>
    <w:rsid w:val="002737B7"/>
    <w:rsid w:val="002761E2"/>
    <w:rsid w:val="00277A2C"/>
    <w:rsid w:val="00277FB6"/>
    <w:rsid w:val="002807A2"/>
    <w:rsid w:val="00281A02"/>
    <w:rsid w:val="00282DEA"/>
    <w:rsid w:val="0028356E"/>
    <w:rsid w:val="00284599"/>
    <w:rsid w:val="002850A3"/>
    <w:rsid w:val="0028571D"/>
    <w:rsid w:val="00286E03"/>
    <w:rsid w:val="00287470"/>
    <w:rsid w:val="002907F9"/>
    <w:rsid w:val="00290B33"/>
    <w:rsid w:val="00292C3B"/>
    <w:rsid w:val="00292D33"/>
    <w:rsid w:val="00294492"/>
    <w:rsid w:val="002944BA"/>
    <w:rsid w:val="00294755"/>
    <w:rsid w:val="00295E38"/>
    <w:rsid w:val="00297208"/>
    <w:rsid w:val="002978B7"/>
    <w:rsid w:val="00297943"/>
    <w:rsid w:val="00297B79"/>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3501"/>
    <w:rsid w:val="002C533F"/>
    <w:rsid w:val="002D0C13"/>
    <w:rsid w:val="002D0DB5"/>
    <w:rsid w:val="002D1A50"/>
    <w:rsid w:val="002D56D7"/>
    <w:rsid w:val="002D645B"/>
    <w:rsid w:val="002E02A1"/>
    <w:rsid w:val="002E0586"/>
    <w:rsid w:val="002E2407"/>
    <w:rsid w:val="002E3A18"/>
    <w:rsid w:val="002E3F02"/>
    <w:rsid w:val="002E57CC"/>
    <w:rsid w:val="002F5516"/>
    <w:rsid w:val="003025C0"/>
    <w:rsid w:val="003045C3"/>
    <w:rsid w:val="00304E0A"/>
    <w:rsid w:val="00307D8B"/>
    <w:rsid w:val="003138B0"/>
    <w:rsid w:val="00314188"/>
    <w:rsid w:val="00314A63"/>
    <w:rsid w:val="00315773"/>
    <w:rsid w:val="00315C8B"/>
    <w:rsid w:val="0031696A"/>
    <w:rsid w:val="0031745F"/>
    <w:rsid w:val="003175E4"/>
    <w:rsid w:val="00320324"/>
    <w:rsid w:val="00323733"/>
    <w:rsid w:val="00324EE2"/>
    <w:rsid w:val="00326CDF"/>
    <w:rsid w:val="00330F58"/>
    <w:rsid w:val="003318B1"/>
    <w:rsid w:val="00331C9F"/>
    <w:rsid w:val="00333A0E"/>
    <w:rsid w:val="003363F6"/>
    <w:rsid w:val="003369B5"/>
    <w:rsid w:val="003407AC"/>
    <w:rsid w:val="00342EE0"/>
    <w:rsid w:val="0034511D"/>
    <w:rsid w:val="003467DE"/>
    <w:rsid w:val="00346BAD"/>
    <w:rsid w:val="00347008"/>
    <w:rsid w:val="00351B73"/>
    <w:rsid w:val="003524E4"/>
    <w:rsid w:val="0035260A"/>
    <w:rsid w:val="00355C12"/>
    <w:rsid w:val="003562B1"/>
    <w:rsid w:val="00356718"/>
    <w:rsid w:val="003604B7"/>
    <w:rsid w:val="00361163"/>
    <w:rsid w:val="00363D7C"/>
    <w:rsid w:val="003664E8"/>
    <w:rsid w:val="00366CDA"/>
    <w:rsid w:val="00370196"/>
    <w:rsid w:val="00371FDD"/>
    <w:rsid w:val="0037204D"/>
    <w:rsid w:val="00372A2E"/>
    <w:rsid w:val="00372C1A"/>
    <w:rsid w:val="0037335D"/>
    <w:rsid w:val="003752A9"/>
    <w:rsid w:val="0037553F"/>
    <w:rsid w:val="003759C6"/>
    <w:rsid w:val="0037651B"/>
    <w:rsid w:val="00381BF3"/>
    <w:rsid w:val="00384EC6"/>
    <w:rsid w:val="00385D9C"/>
    <w:rsid w:val="00386463"/>
    <w:rsid w:val="003874FB"/>
    <w:rsid w:val="003908D1"/>
    <w:rsid w:val="00390A87"/>
    <w:rsid w:val="0039167E"/>
    <w:rsid w:val="00392579"/>
    <w:rsid w:val="00392E06"/>
    <w:rsid w:val="00393C69"/>
    <w:rsid w:val="00394D93"/>
    <w:rsid w:val="00396872"/>
    <w:rsid w:val="00397092"/>
    <w:rsid w:val="003A21B0"/>
    <w:rsid w:val="003A33D8"/>
    <w:rsid w:val="003A44C6"/>
    <w:rsid w:val="003A59F1"/>
    <w:rsid w:val="003A6D83"/>
    <w:rsid w:val="003A733D"/>
    <w:rsid w:val="003A7E03"/>
    <w:rsid w:val="003B21DC"/>
    <w:rsid w:val="003B4403"/>
    <w:rsid w:val="003B512E"/>
    <w:rsid w:val="003B5F29"/>
    <w:rsid w:val="003C0174"/>
    <w:rsid w:val="003C1C09"/>
    <w:rsid w:val="003C5750"/>
    <w:rsid w:val="003C60A8"/>
    <w:rsid w:val="003C6663"/>
    <w:rsid w:val="003C67B6"/>
    <w:rsid w:val="003C72EF"/>
    <w:rsid w:val="003C7611"/>
    <w:rsid w:val="003D01FA"/>
    <w:rsid w:val="003D18D6"/>
    <w:rsid w:val="003D1ECA"/>
    <w:rsid w:val="003D25A7"/>
    <w:rsid w:val="003D4A0C"/>
    <w:rsid w:val="003D66FC"/>
    <w:rsid w:val="003D6FC2"/>
    <w:rsid w:val="003E00A1"/>
    <w:rsid w:val="003E1E02"/>
    <w:rsid w:val="003E353C"/>
    <w:rsid w:val="003E5117"/>
    <w:rsid w:val="003E5319"/>
    <w:rsid w:val="003E68FE"/>
    <w:rsid w:val="003E7A41"/>
    <w:rsid w:val="003F1314"/>
    <w:rsid w:val="003F1596"/>
    <w:rsid w:val="003F1C60"/>
    <w:rsid w:val="003F2437"/>
    <w:rsid w:val="003F51BB"/>
    <w:rsid w:val="004001EC"/>
    <w:rsid w:val="004009E4"/>
    <w:rsid w:val="00402F5C"/>
    <w:rsid w:val="004049B5"/>
    <w:rsid w:val="004071A9"/>
    <w:rsid w:val="00410256"/>
    <w:rsid w:val="004103DE"/>
    <w:rsid w:val="00413C59"/>
    <w:rsid w:val="00414113"/>
    <w:rsid w:val="00415E47"/>
    <w:rsid w:val="004168E0"/>
    <w:rsid w:val="00417491"/>
    <w:rsid w:val="0042380C"/>
    <w:rsid w:val="00425218"/>
    <w:rsid w:val="0042708B"/>
    <w:rsid w:val="00430F45"/>
    <w:rsid w:val="004339ED"/>
    <w:rsid w:val="004341D9"/>
    <w:rsid w:val="0043483A"/>
    <w:rsid w:val="00434855"/>
    <w:rsid w:val="0043646E"/>
    <w:rsid w:val="00440F26"/>
    <w:rsid w:val="00441081"/>
    <w:rsid w:val="004418CC"/>
    <w:rsid w:val="00442697"/>
    <w:rsid w:val="00442895"/>
    <w:rsid w:val="00443C29"/>
    <w:rsid w:val="0044403E"/>
    <w:rsid w:val="00444944"/>
    <w:rsid w:val="004458E4"/>
    <w:rsid w:val="00445B5F"/>
    <w:rsid w:val="00445F2C"/>
    <w:rsid w:val="00446C71"/>
    <w:rsid w:val="00450A16"/>
    <w:rsid w:val="00453970"/>
    <w:rsid w:val="00454626"/>
    <w:rsid w:val="00454AD6"/>
    <w:rsid w:val="00454FC9"/>
    <w:rsid w:val="00455596"/>
    <w:rsid w:val="0045705D"/>
    <w:rsid w:val="00460D82"/>
    <w:rsid w:val="0046248A"/>
    <w:rsid w:val="00464066"/>
    <w:rsid w:val="0046415F"/>
    <w:rsid w:val="00464618"/>
    <w:rsid w:val="00464C5F"/>
    <w:rsid w:val="00465522"/>
    <w:rsid w:val="00465916"/>
    <w:rsid w:val="00473535"/>
    <w:rsid w:val="004743A4"/>
    <w:rsid w:val="0047467B"/>
    <w:rsid w:val="00474FA1"/>
    <w:rsid w:val="00477821"/>
    <w:rsid w:val="004778DC"/>
    <w:rsid w:val="00477F7D"/>
    <w:rsid w:val="00481D43"/>
    <w:rsid w:val="0048282F"/>
    <w:rsid w:val="00483C40"/>
    <w:rsid w:val="00483DFB"/>
    <w:rsid w:val="00483F46"/>
    <w:rsid w:val="00484120"/>
    <w:rsid w:val="004843DC"/>
    <w:rsid w:val="00485C87"/>
    <w:rsid w:val="0049489C"/>
    <w:rsid w:val="00495E3E"/>
    <w:rsid w:val="004960B6"/>
    <w:rsid w:val="004A02BF"/>
    <w:rsid w:val="004A1563"/>
    <w:rsid w:val="004A1790"/>
    <w:rsid w:val="004A4D41"/>
    <w:rsid w:val="004B20C3"/>
    <w:rsid w:val="004B3639"/>
    <w:rsid w:val="004B53B6"/>
    <w:rsid w:val="004C1BF7"/>
    <w:rsid w:val="004C3B08"/>
    <w:rsid w:val="004C74D0"/>
    <w:rsid w:val="004C7549"/>
    <w:rsid w:val="004D2808"/>
    <w:rsid w:val="004D6AA1"/>
    <w:rsid w:val="004D7B18"/>
    <w:rsid w:val="004D7EB3"/>
    <w:rsid w:val="004E0424"/>
    <w:rsid w:val="004E064C"/>
    <w:rsid w:val="004E07CA"/>
    <w:rsid w:val="004E1480"/>
    <w:rsid w:val="004E17DD"/>
    <w:rsid w:val="004E27D8"/>
    <w:rsid w:val="004E280B"/>
    <w:rsid w:val="004E5511"/>
    <w:rsid w:val="004E7CE9"/>
    <w:rsid w:val="004F0BCC"/>
    <w:rsid w:val="004F11BC"/>
    <w:rsid w:val="004F31FF"/>
    <w:rsid w:val="004F4680"/>
    <w:rsid w:val="004F67DD"/>
    <w:rsid w:val="004F728E"/>
    <w:rsid w:val="00501155"/>
    <w:rsid w:val="00502264"/>
    <w:rsid w:val="005031A5"/>
    <w:rsid w:val="00503765"/>
    <w:rsid w:val="0050393D"/>
    <w:rsid w:val="0050498E"/>
    <w:rsid w:val="00504AA4"/>
    <w:rsid w:val="005107FD"/>
    <w:rsid w:val="005110EF"/>
    <w:rsid w:val="00511B46"/>
    <w:rsid w:val="00512329"/>
    <w:rsid w:val="00513851"/>
    <w:rsid w:val="0051392C"/>
    <w:rsid w:val="0051637D"/>
    <w:rsid w:val="00523E6B"/>
    <w:rsid w:val="00523EB5"/>
    <w:rsid w:val="00525937"/>
    <w:rsid w:val="00527518"/>
    <w:rsid w:val="00530080"/>
    <w:rsid w:val="00530DBA"/>
    <w:rsid w:val="005312EB"/>
    <w:rsid w:val="00531AC8"/>
    <w:rsid w:val="00531CA8"/>
    <w:rsid w:val="0053212C"/>
    <w:rsid w:val="0053562D"/>
    <w:rsid w:val="0054006D"/>
    <w:rsid w:val="005401FE"/>
    <w:rsid w:val="00540E85"/>
    <w:rsid w:val="00541BC6"/>
    <w:rsid w:val="0054242A"/>
    <w:rsid w:val="00543046"/>
    <w:rsid w:val="005441F7"/>
    <w:rsid w:val="005448EF"/>
    <w:rsid w:val="00545B0C"/>
    <w:rsid w:val="00546FE4"/>
    <w:rsid w:val="0054723E"/>
    <w:rsid w:val="005472CD"/>
    <w:rsid w:val="00551A21"/>
    <w:rsid w:val="00552E7A"/>
    <w:rsid w:val="0055425C"/>
    <w:rsid w:val="005559BB"/>
    <w:rsid w:val="00556394"/>
    <w:rsid w:val="00556ABB"/>
    <w:rsid w:val="00562642"/>
    <w:rsid w:val="00562B32"/>
    <w:rsid w:val="00567621"/>
    <w:rsid w:val="005711F6"/>
    <w:rsid w:val="005712A5"/>
    <w:rsid w:val="00571C32"/>
    <w:rsid w:val="00572FF9"/>
    <w:rsid w:val="00573FEE"/>
    <w:rsid w:val="0057427F"/>
    <w:rsid w:val="00576AA3"/>
    <w:rsid w:val="00582801"/>
    <w:rsid w:val="0058340A"/>
    <w:rsid w:val="00583784"/>
    <w:rsid w:val="005871B6"/>
    <w:rsid w:val="00587630"/>
    <w:rsid w:val="0059072E"/>
    <w:rsid w:val="00590F79"/>
    <w:rsid w:val="00591332"/>
    <w:rsid w:val="00591A00"/>
    <w:rsid w:val="00592642"/>
    <w:rsid w:val="00593D25"/>
    <w:rsid w:val="00594DCA"/>
    <w:rsid w:val="00595DAB"/>
    <w:rsid w:val="005976C3"/>
    <w:rsid w:val="005A01AA"/>
    <w:rsid w:val="005A073A"/>
    <w:rsid w:val="005A3EB2"/>
    <w:rsid w:val="005A4912"/>
    <w:rsid w:val="005A4B30"/>
    <w:rsid w:val="005A62CF"/>
    <w:rsid w:val="005A697A"/>
    <w:rsid w:val="005A7C2E"/>
    <w:rsid w:val="005B13AD"/>
    <w:rsid w:val="005B3C11"/>
    <w:rsid w:val="005B3D0E"/>
    <w:rsid w:val="005B5981"/>
    <w:rsid w:val="005B6F9B"/>
    <w:rsid w:val="005B7B47"/>
    <w:rsid w:val="005C195F"/>
    <w:rsid w:val="005C29BB"/>
    <w:rsid w:val="005C2F1F"/>
    <w:rsid w:val="005C49E1"/>
    <w:rsid w:val="005C4E8D"/>
    <w:rsid w:val="005D08CC"/>
    <w:rsid w:val="005D0C83"/>
    <w:rsid w:val="005D19A7"/>
    <w:rsid w:val="005D55B7"/>
    <w:rsid w:val="005E1A13"/>
    <w:rsid w:val="005E382E"/>
    <w:rsid w:val="005E3DFC"/>
    <w:rsid w:val="005E6E3C"/>
    <w:rsid w:val="005F39A2"/>
    <w:rsid w:val="005F3AFA"/>
    <w:rsid w:val="005F4BC7"/>
    <w:rsid w:val="005F5A29"/>
    <w:rsid w:val="0060013E"/>
    <w:rsid w:val="006028FC"/>
    <w:rsid w:val="0060348A"/>
    <w:rsid w:val="00612E2E"/>
    <w:rsid w:val="0061359C"/>
    <w:rsid w:val="00613AF7"/>
    <w:rsid w:val="00613E51"/>
    <w:rsid w:val="00614468"/>
    <w:rsid w:val="006146E3"/>
    <w:rsid w:val="006152BF"/>
    <w:rsid w:val="00617E89"/>
    <w:rsid w:val="006222E1"/>
    <w:rsid w:val="006243E6"/>
    <w:rsid w:val="00624DAA"/>
    <w:rsid w:val="00627D3D"/>
    <w:rsid w:val="006313F6"/>
    <w:rsid w:val="00631E59"/>
    <w:rsid w:val="0063372F"/>
    <w:rsid w:val="00635B13"/>
    <w:rsid w:val="006420B5"/>
    <w:rsid w:val="00642134"/>
    <w:rsid w:val="00642CF1"/>
    <w:rsid w:val="00643AF8"/>
    <w:rsid w:val="00645189"/>
    <w:rsid w:val="006453B1"/>
    <w:rsid w:val="006464A5"/>
    <w:rsid w:val="00646CD9"/>
    <w:rsid w:val="006509CA"/>
    <w:rsid w:val="0065250F"/>
    <w:rsid w:val="00655FB4"/>
    <w:rsid w:val="00657384"/>
    <w:rsid w:val="006606F1"/>
    <w:rsid w:val="00662C49"/>
    <w:rsid w:val="00663985"/>
    <w:rsid w:val="00663B0F"/>
    <w:rsid w:val="00665C1C"/>
    <w:rsid w:val="00667362"/>
    <w:rsid w:val="00670054"/>
    <w:rsid w:val="006714F3"/>
    <w:rsid w:val="00672921"/>
    <w:rsid w:val="00672EA6"/>
    <w:rsid w:val="00672F88"/>
    <w:rsid w:val="006737EF"/>
    <w:rsid w:val="0067413D"/>
    <w:rsid w:val="00676E21"/>
    <w:rsid w:val="006802D4"/>
    <w:rsid w:val="0068197B"/>
    <w:rsid w:val="00682054"/>
    <w:rsid w:val="006823D4"/>
    <w:rsid w:val="00683B8D"/>
    <w:rsid w:val="00685018"/>
    <w:rsid w:val="00685AC1"/>
    <w:rsid w:val="00686241"/>
    <w:rsid w:val="00691DC6"/>
    <w:rsid w:val="00692321"/>
    <w:rsid w:val="00692CC9"/>
    <w:rsid w:val="00693AC1"/>
    <w:rsid w:val="00694955"/>
    <w:rsid w:val="0069510A"/>
    <w:rsid w:val="006951CB"/>
    <w:rsid w:val="00696165"/>
    <w:rsid w:val="006971C1"/>
    <w:rsid w:val="006A3143"/>
    <w:rsid w:val="006A5561"/>
    <w:rsid w:val="006A566A"/>
    <w:rsid w:val="006A61D9"/>
    <w:rsid w:val="006B1A12"/>
    <w:rsid w:val="006B2C0F"/>
    <w:rsid w:val="006B38A6"/>
    <w:rsid w:val="006B3D85"/>
    <w:rsid w:val="006B5C1A"/>
    <w:rsid w:val="006B5D61"/>
    <w:rsid w:val="006B632F"/>
    <w:rsid w:val="006B673A"/>
    <w:rsid w:val="006B734B"/>
    <w:rsid w:val="006B76E6"/>
    <w:rsid w:val="006C1EA1"/>
    <w:rsid w:val="006C2008"/>
    <w:rsid w:val="006C22C2"/>
    <w:rsid w:val="006C4DEE"/>
    <w:rsid w:val="006C6EE4"/>
    <w:rsid w:val="006C7B0B"/>
    <w:rsid w:val="006D06C2"/>
    <w:rsid w:val="006D0BEC"/>
    <w:rsid w:val="006D2E73"/>
    <w:rsid w:val="006D3C13"/>
    <w:rsid w:val="006D456E"/>
    <w:rsid w:val="006D4FC8"/>
    <w:rsid w:val="006D6502"/>
    <w:rsid w:val="006D7CA9"/>
    <w:rsid w:val="006E07F8"/>
    <w:rsid w:val="006E1543"/>
    <w:rsid w:val="006E1D74"/>
    <w:rsid w:val="006E46C7"/>
    <w:rsid w:val="006E6A93"/>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8A2"/>
    <w:rsid w:val="00717267"/>
    <w:rsid w:val="00721603"/>
    <w:rsid w:val="00724726"/>
    <w:rsid w:val="00725E95"/>
    <w:rsid w:val="00726D7A"/>
    <w:rsid w:val="007279BA"/>
    <w:rsid w:val="00731B12"/>
    <w:rsid w:val="00732662"/>
    <w:rsid w:val="00734522"/>
    <w:rsid w:val="00735512"/>
    <w:rsid w:val="00736BFE"/>
    <w:rsid w:val="007378FF"/>
    <w:rsid w:val="00741A1E"/>
    <w:rsid w:val="00741D18"/>
    <w:rsid w:val="00744A84"/>
    <w:rsid w:val="007452DD"/>
    <w:rsid w:val="007455F1"/>
    <w:rsid w:val="00745E64"/>
    <w:rsid w:val="00745E70"/>
    <w:rsid w:val="00746684"/>
    <w:rsid w:val="00746B0B"/>
    <w:rsid w:val="007475AF"/>
    <w:rsid w:val="00747799"/>
    <w:rsid w:val="007527DA"/>
    <w:rsid w:val="00755390"/>
    <w:rsid w:val="00756497"/>
    <w:rsid w:val="00760413"/>
    <w:rsid w:val="007606BC"/>
    <w:rsid w:val="007634C6"/>
    <w:rsid w:val="0076371B"/>
    <w:rsid w:val="00763A00"/>
    <w:rsid w:val="007640F3"/>
    <w:rsid w:val="00764C00"/>
    <w:rsid w:val="007661D1"/>
    <w:rsid w:val="00766CD2"/>
    <w:rsid w:val="00766E6F"/>
    <w:rsid w:val="00770078"/>
    <w:rsid w:val="00771B53"/>
    <w:rsid w:val="007744AA"/>
    <w:rsid w:val="00774FED"/>
    <w:rsid w:val="00775C3B"/>
    <w:rsid w:val="00776250"/>
    <w:rsid w:val="00777E50"/>
    <w:rsid w:val="00780044"/>
    <w:rsid w:val="007808AE"/>
    <w:rsid w:val="00783498"/>
    <w:rsid w:val="0078372B"/>
    <w:rsid w:val="007837C8"/>
    <w:rsid w:val="007852FD"/>
    <w:rsid w:val="00785471"/>
    <w:rsid w:val="00785F38"/>
    <w:rsid w:val="00786AE7"/>
    <w:rsid w:val="00790F89"/>
    <w:rsid w:val="0079660C"/>
    <w:rsid w:val="007968C1"/>
    <w:rsid w:val="00796E42"/>
    <w:rsid w:val="0079766A"/>
    <w:rsid w:val="007A1F89"/>
    <w:rsid w:val="007A575A"/>
    <w:rsid w:val="007A57A8"/>
    <w:rsid w:val="007A5F28"/>
    <w:rsid w:val="007A78E2"/>
    <w:rsid w:val="007B25AE"/>
    <w:rsid w:val="007B2927"/>
    <w:rsid w:val="007B6EA5"/>
    <w:rsid w:val="007B6F1D"/>
    <w:rsid w:val="007B76DC"/>
    <w:rsid w:val="007C2B06"/>
    <w:rsid w:val="007C3827"/>
    <w:rsid w:val="007C4A2C"/>
    <w:rsid w:val="007C4D9E"/>
    <w:rsid w:val="007C4E57"/>
    <w:rsid w:val="007C5427"/>
    <w:rsid w:val="007C6583"/>
    <w:rsid w:val="007D14A3"/>
    <w:rsid w:val="007D2482"/>
    <w:rsid w:val="007D6236"/>
    <w:rsid w:val="007D7965"/>
    <w:rsid w:val="007E0190"/>
    <w:rsid w:val="007E087F"/>
    <w:rsid w:val="007E2266"/>
    <w:rsid w:val="007E229D"/>
    <w:rsid w:val="007E26EE"/>
    <w:rsid w:val="007E3F21"/>
    <w:rsid w:val="007E42F5"/>
    <w:rsid w:val="007E5B85"/>
    <w:rsid w:val="007E625B"/>
    <w:rsid w:val="007F0CAB"/>
    <w:rsid w:val="007F25A8"/>
    <w:rsid w:val="007F3DE0"/>
    <w:rsid w:val="007F4D4E"/>
    <w:rsid w:val="007F7D66"/>
    <w:rsid w:val="008009E8"/>
    <w:rsid w:val="00803BE4"/>
    <w:rsid w:val="00804838"/>
    <w:rsid w:val="008060D5"/>
    <w:rsid w:val="00810C89"/>
    <w:rsid w:val="00812AEC"/>
    <w:rsid w:val="00813B39"/>
    <w:rsid w:val="008140F0"/>
    <w:rsid w:val="00814FAD"/>
    <w:rsid w:val="00815E06"/>
    <w:rsid w:val="008165B1"/>
    <w:rsid w:val="00823DDE"/>
    <w:rsid w:val="00824EB7"/>
    <w:rsid w:val="008253D8"/>
    <w:rsid w:val="0082543F"/>
    <w:rsid w:val="00825E6D"/>
    <w:rsid w:val="00825E7F"/>
    <w:rsid w:val="008303E1"/>
    <w:rsid w:val="008306F9"/>
    <w:rsid w:val="00832491"/>
    <w:rsid w:val="00832617"/>
    <w:rsid w:val="0083360F"/>
    <w:rsid w:val="00835461"/>
    <w:rsid w:val="008373B3"/>
    <w:rsid w:val="008407B0"/>
    <w:rsid w:val="0084306B"/>
    <w:rsid w:val="008434E6"/>
    <w:rsid w:val="00845408"/>
    <w:rsid w:val="00845513"/>
    <w:rsid w:val="00845BF1"/>
    <w:rsid w:val="00846F63"/>
    <w:rsid w:val="0085074D"/>
    <w:rsid w:val="008553F9"/>
    <w:rsid w:val="0085669C"/>
    <w:rsid w:val="00856B48"/>
    <w:rsid w:val="008576E1"/>
    <w:rsid w:val="00862017"/>
    <w:rsid w:val="00862650"/>
    <w:rsid w:val="00864A86"/>
    <w:rsid w:val="008659D5"/>
    <w:rsid w:val="00866352"/>
    <w:rsid w:val="008701AE"/>
    <w:rsid w:val="00870838"/>
    <w:rsid w:val="0087091C"/>
    <w:rsid w:val="00872540"/>
    <w:rsid w:val="0087260D"/>
    <w:rsid w:val="0087300F"/>
    <w:rsid w:val="008734A3"/>
    <w:rsid w:val="00874140"/>
    <w:rsid w:val="008748A9"/>
    <w:rsid w:val="0087588C"/>
    <w:rsid w:val="00881428"/>
    <w:rsid w:val="00884BE1"/>
    <w:rsid w:val="00885A30"/>
    <w:rsid w:val="008862C9"/>
    <w:rsid w:val="008871B4"/>
    <w:rsid w:val="0089158A"/>
    <w:rsid w:val="00891BA1"/>
    <w:rsid w:val="008938DB"/>
    <w:rsid w:val="008958CB"/>
    <w:rsid w:val="00895CAE"/>
    <w:rsid w:val="008A4CCA"/>
    <w:rsid w:val="008A5788"/>
    <w:rsid w:val="008A6560"/>
    <w:rsid w:val="008A78ED"/>
    <w:rsid w:val="008B0B1F"/>
    <w:rsid w:val="008B15E2"/>
    <w:rsid w:val="008B4143"/>
    <w:rsid w:val="008B56A8"/>
    <w:rsid w:val="008B6C11"/>
    <w:rsid w:val="008C1A70"/>
    <w:rsid w:val="008C28EC"/>
    <w:rsid w:val="008C2E73"/>
    <w:rsid w:val="008C462E"/>
    <w:rsid w:val="008C4769"/>
    <w:rsid w:val="008C47A5"/>
    <w:rsid w:val="008C5FCE"/>
    <w:rsid w:val="008C69F7"/>
    <w:rsid w:val="008D0875"/>
    <w:rsid w:val="008D452C"/>
    <w:rsid w:val="008D66BC"/>
    <w:rsid w:val="008D6F52"/>
    <w:rsid w:val="008D7A5A"/>
    <w:rsid w:val="008E3FB6"/>
    <w:rsid w:val="008E48A2"/>
    <w:rsid w:val="008E7ADB"/>
    <w:rsid w:val="008E7BED"/>
    <w:rsid w:val="008F2ADB"/>
    <w:rsid w:val="008F5848"/>
    <w:rsid w:val="008F584E"/>
    <w:rsid w:val="008F61D6"/>
    <w:rsid w:val="008F79C2"/>
    <w:rsid w:val="0090036E"/>
    <w:rsid w:val="0090247E"/>
    <w:rsid w:val="00904EBB"/>
    <w:rsid w:val="00907D26"/>
    <w:rsid w:val="0091170B"/>
    <w:rsid w:val="00911C76"/>
    <w:rsid w:val="00914AB0"/>
    <w:rsid w:val="009158E9"/>
    <w:rsid w:val="00917204"/>
    <w:rsid w:val="00921FDE"/>
    <w:rsid w:val="00922F14"/>
    <w:rsid w:val="009231EF"/>
    <w:rsid w:val="009240DB"/>
    <w:rsid w:val="009241E4"/>
    <w:rsid w:val="00925545"/>
    <w:rsid w:val="00925F36"/>
    <w:rsid w:val="00926B22"/>
    <w:rsid w:val="00926F6A"/>
    <w:rsid w:val="00927E30"/>
    <w:rsid w:val="009308C5"/>
    <w:rsid w:val="00930E21"/>
    <w:rsid w:val="009330EE"/>
    <w:rsid w:val="00935FFC"/>
    <w:rsid w:val="0093685E"/>
    <w:rsid w:val="00937695"/>
    <w:rsid w:val="009408F4"/>
    <w:rsid w:val="00942870"/>
    <w:rsid w:val="00942EE5"/>
    <w:rsid w:val="0094537E"/>
    <w:rsid w:val="0094715D"/>
    <w:rsid w:val="00947FFE"/>
    <w:rsid w:val="0095135F"/>
    <w:rsid w:val="00952BBA"/>
    <w:rsid w:val="00953EAE"/>
    <w:rsid w:val="009559E9"/>
    <w:rsid w:val="009566E5"/>
    <w:rsid w:val="00961707"/>
    <w:rsid w:val="00963AF3"/>
    <w:rsid w:val="00966B10"/>
    <w:rsid w:val="009673A4"/>
    <w:rsid w:val="00970162"/>
    <w:rsid w:val="00971A29"/>
    <w:rsid w:val="00971F6C"/>
    <w:rsid w:val="00972C29"/>
    <w:rsid w:val="00975B8F"/>
    <w:rsid w:val="00976721"/>
    <w:rsid w:val="00977547"/>
    <w:rsid w:val="009778C2"/>
    <w:rsid w:val="00977DF8"/>
    <w:rsid w:val="00980C3B"/>
    <w:rsid w:val="00981646"/>
    <w:rsid w:val="00981E1A"/>
    <w:rsid w:val="009829A3"/>
    <w:rsid w:val="00986837"/>
    <w:rsid w:val="00990540"/>
    <w:rsid w:val="00992FA8"/>
    <w:rsid w:val="009942A8"/>
    <w:rsid w:val="009966C2"/>
    <w:rsid w:val="0099770F"/>
    <w:rsid w:val="009A2C45"/>
    <w:rsid w:val="009B0DD2"/>
    <w:rsid w:val="009B135F"/>
    <w:rsid w:val="009B467C"/>
    <w:rsid w:val="009B5286"/>
    <w:rsid w:val="009B6871"/>
    <w:rsid w:val="009B6B77"/>
    <w:rsid w:val="009B7039"/>
    <w:rsid w:val="009B7FA8"/>
    <w:rsid w:val="009C1CC1"/>
    <w:rsid w:val="009C31F1"/>
    <w:rsid w:val="009C444E"/>
    <w:rsid w:val="009C516E"/>
    <w:rsid w:val="009C64E4"/>
    <w:rsid w:val="009C7FD0"/>
    <w:rsid w:val="009D172C"/>
    <w:rsid w:val="009D3D4D"/>
    <w:rsid w:val="009D4B26"/>
    <w:rsid w:val="009D5909"/>
    <w:rsid w:val="009E1E0A"/>
    <w:rsid w:val="009E3CB3"/>
    <w:rsid w:val="009E5D98"/>
    <w:rsid w:val="009E6F31"/>
    <w:rsid w:val="009E7C99"/>
    <w:rsid w:val="009F1C1F"/>
    <w:rsid w:val="009F216A"/>
    <w:rsid w:val="009F32E5"/>
    <w:rsid w:val="009F3520"/>
    <w:rsid w:val="009F6DFE"/>
    <w:rsid w:val="009F7558"/>
    <w:rsid w:val="009F7B74"/>
    <w:rsid w:val="00A01CA8"/>
    <w:rsid w:val="00A02BDE"/>
    <w:rsid w:val="00A02ED2"/>
    <w:rsid w:val="00A105E4"/>
    <w:rsid w:val="00A12398"/>
    <w:rsid w:val="00A13912"/>
    <w:rsid w:val="00A13E01"/>
    <w:rsid w:val="00A14DBF"/>
    <w:rsid w:val="00A155EE"/>
    <w:rsid w:val="00A167DD"/>
    <w:rsid w:val="00A16B1B"/>
    <w:rsid w:val="00A17476"/>
    <w:rsid w:val="00A24095"/>
    <w:rsid w:val="00A25B56"/>
    <w:rsid w:val="00A265B4"/>
    <w:rsid w:val="00A26B4F"/>
    <w:rsid w:val="00A30324"/>
    <w:rsid w:val="00A30E12"/>
    <w:rsid w:val="00A312FE"/>
    <w:rsid w:val="00A31559"/>
    <w:rsid w:val="00A31EFE"/>
    <w:rsid w:val="00A31F58"/>
    <w:rsid w:val="00A32CD9"/>
    <w:rsid w:val="00A355C3"/>
    <w:rsid w:val="00A41FAE"/>
    <w:rsid w:val="00A4253D"/>
    <w:rsid w:val="00A4410F"/>
    <w:rsid w:val="00A44A57"/>
    <w:rsid w:val="00A44B81"/>
    <w:rsid w:val="00A45E8D"/>
    <w:rsid w:val="00A462C5"/>
    <w:rsid w:val="00A46462"/>
    <w:rsid w:val="00A47CCB"/>
    <w:rsid w:val="00A50B57"/>
    <w:rsid w:val="00A526FE"/>
    <w:rsid w:val="00A53E98"/>
    <w:rsid w:val="00A55C3E"/>
    <w:rsid w:val="00A600FB"/>
    <w:rsid w:val="00A61A89"/>
    <w:rsid w:val="00A63D0E"/>
    <w:rsid w:val="00A641E2"/>
    <w:rsid w:val="00A6607D"/>
    <w:rsid w:val="00A66CC8"/>
    <w:rsid w:val="00A675E8"/>
    <w:rsid w:val="00A67922"/>
    <w:rsid w:val="00A70A59"/>
    <w:rsid w:val="00A7116F"/>
    <w:rsid w:val="00A72480"/>
    <w:rsid w:val="00A73368"/>
    <w:rsid w:val="00A73C9C"/>
    <w:rsid w:val="00A73F83"/>
    <w:rsid w:val="00A74F65"/>
    <w:rsid w:val="00A83C07"/>
    <w:rsid w:val="00A83DBE"/>
    <w:rsid w:val="00A86C75"/>
    <w:rsid w:val="00A86FB2"/>
    <w:rsid w:val="00A90AE0"/>
    <w:rsid w:val="00A9138F"/>
    <w:rsid w:val="00A92376"/>
    <w:rsid w:val="00A936A2"/>
    <w:rsid w:val="00A96989"/>
    <w:rsid w:val="00A97F10"/>
    <w:rsid w:val="00AA008B"/>
    <w:rsid w:val="00AA217D"/>
    <w:rsid w:val="00AA277E"/>
    <w:rsid w:val="00AA4061"/>
    <w:rsid w:val="00AA6273"/>
    <w:rsid w:val="00AB22FA"/>
    <w:rsid w:val="00AB53A9"/>
    <w:rsid w:val="00AC0111"/>
    <w:rsid w:val="00AC1EC7"/>
    <w:rsid w:val="00AC5461"/>
    <w:rsid w:val="00AC62AD"/>
    <w:rsid w:val="00AC6AF7"/>
    <w:rsid w:val="00AD00D5"/>
    <w:rsid w:val="00AD262B"/>
    <w:rsid w:val="00AD39AA"/>
    <w:rsid w:val="00AD4881"/>
    <w:rsid w:val="00AD498B"/>
    <w:rsid w:val="00AD5F0E"/>
    <w:rsid w:val="00AD6935"/>
    <w:rsid w:val="00AD7891"/>
    <w:rsid w:val="00AE23AA"/>
    <w:rsid w:val="00AE2E21"/>
    <w:rsid w:val="00AE4668"/>
    <w:rsid w:val="00AE5A3D"/>
    <w:rsid w:val="00AE781C"/>
    <w:rsid w:val="00AF1A32"/>
    <w:rsid w:val="00AF3957"/>
    <w:rsid w:val="00AF414E"/>
    <w:rsid w:val="00AF4888"/>
    <w:rsid w:val="00AF4FA8"/>
    <w:rsid w:val="00B009B8"/>
    <w:rsid w:val="00B01341"/>
    <w:rsid w:val="00B01CCB"/>
    <w:rsid w:val="00B01DFA"/>
    <w:rsid w:val="00B02A08"/>
    <w:rsid w:val="00B04CED"/>
    <w:rsid w:val="00B057CC"/>
    <w:rsid w:val="00B0586C"/>
    <w:rsid w:val="00B067A1"/>
    <w:rsid w:val="00B0735E"/>
    <w:rsid w:val="00B103B4"/>
    <w:rsid w:val="00B10C8B"/>
    <w:rsid w:val="00B11E8D"/>
    <w:rsid w:val="00B11EBE"/>
    <w:rsid w:val="00B1311E"/>
    <w:rsid w:val="00B13424"/>
    <w:rsid w:val="00B144F9"/>
    <w:rsid w:val="00B22FF0"/>
    <w:rsid w:val="00B2342B"/>
    <w:rsid w:val="00B238E3"/>
    <w:rsid w:val="00B2621E"/>
    <w:rsid w:val="00B26442"/>
    <w:rsid w:val="00B270DA"/>
    <w:rsid w:val="00B27540"/>
    <w:rsid w:val="00B27798"/>
    <w:rsid w:val="00B27E07"/>
    <w:rsid w:val="00B32186"/>
    <w:rsid w:val="00B330F2"/>
    <w:rsid w:val="00B33D50"/>
    <w:rsid w:val="00B34236"/>
    <w:rsid w:val="00B34A08"/>
    <w:rsid w:val="00B35E4D"/>
    <w:rsid w:val="00B360B4"/>
    <w:rsid w:val="00B3625E"/>
    <w:rsid w:val="00B36508"/>
    <w:rsid w:val="00B3725B"/>
    <w:rsid w:val="00B37745"/>
    <w:rsid w:val="00B4126A"/>
    <w:rsid w:val="00B4371D"/>
    <w:rsid w:val="00B45ECB"/>
    <w:rsid w:val="00B47668"/>
    <w:rsid w:val="00B51242"/>
    <w:rsid w:val="00B519BA"/>
    <w:rsid w:val="00B526D2"/>
    <w:rsid w:val="00B54A9F"/>
    <w:rsid w:val="00B5659A"/>
    <w:rsid w:val="00B56DD6"/>
    <w:rsid w:val="00B571E7"/>
    <w:rsid w:val="00B617D3"/>
    <w:rsid w:val="00B61CC2"/>
    <w:rsid w:val="00B651CD"/>
    <w:rsid w:val="00B658E0"/>
    <w:rsid w:val="00B70815"/>
    <w:rsid w:val="00B73EAE"/>
    <w:rsid w:val="00B849BD"/>
    <w:rsid w:val="00B84DF7"/>
    <w:rsid w:val="00B84EFF"/>
    <w:rsid w:val="00B8616A"/>
    <w:rsid w:val="00B8642B"/>
    <w:rsid w:val="00B871E0"/>
    <w:rsid w:val="00B90D74"/>
    <w:rsid w:val="00B91CB0"/>
    <w:rsid w:val="00B91FC0"/>
    <w:rsid w:val="00B9221B"/>
    <w:rsid w:val="00BA163E"/>
    <w:rsid w:val="00BA1ACE"/>
    <w:rsid w:val="00BA1B5F"/>
    <w:rsid w:val="00BA4079"/>
    <w:rsid w:val="00BA4863"/>
    <w:rsid w:val="00BA48B0"/>
    <w:rsid w:val="00BA610B"/>
    <w:rsid w:val="00BA717D"/>
    <w:rsid w:val="00BA7C5D"/>
    <w:rsid w:val="00BB352F"/>
    <w:rsid w:val="00BB36F6"/>
    <w:rsid w:val="00BB4D5B"/>
    <w:rsid w:val="00BB5F7F"/>
    <w:rsid w:val="00BB6310"/>
    <w:rsid w:val="00BB688B"/>
    <w:rsid w:val="00BC15BC"/>
    <w:rsid w:val="00BC30B7"/>
    <w:rsid w:val="00BC3B75"/>
    <w:rsid w:val="00BC6050"/>
    <w:rsid w:val="00BD0002"/>
    <w:rsid w:val="00BD0BA3"/>
    <w:rsid w:val="00BD0D6C"/>
    <w:rsid w:val="00BD1DF9"/>
    <w:rsid w:val="00BD1F1D"/>
    <w:rsid w:val="00BD2198"/>
    <w:rsid w:val="00BD6DAC"/>
    <w:rsid w:val="00BE0E7D"/>
    <w:rsid w:val="00BE14E2"/>
    <w:rsid w:val="00BE1D22"/>
    <w:rsid w:val="00BE2CAB"/>
    <w:rsid w:val="00BE302B"/>
    <w:rsid w:val="00BE448F"/>
    <w:rsid w:val="00BE5356"/>
    <w:rsid w:val="00BE73FA"/>
    <w:rsid w:val="00BF0E55"/>
    <w:rsid w:val="00BF115F"/>
    <w:rsid w:val="00BF1BBB"/>
    <w:rsid w:val="00BF409B"/>
    <w:rsid w:val="00BF7416"/>
    <w:rsid w:val="00C003D8"/>
    <w:rsid w:val="00C032DE"/>
    <w:rsid w:val="00C06EA3"/>
    <w:rsid w:val="00C100F9"/>
    <w:rsid w:val="00C1037F"/>
    <w:rsid w:val="00C10C2E"/>
    <w:rsid w:val="00C1588C"/>
    <w:rsid w:val="00C1609F"/>
    <w:rsid w:val="00C16D6D"/>
    <w:rsid w:val="00C16E25"/>
    <w:rsid w:val="00C17DF4"/>
    <w:rsid w:val="00C20BB0"/>
    <w:rsid w:val="00C21CB6"/>
    <w:rsid w:val="00C2766D"/>
    <w:rsid w:val="00C3104C"/>
    <w:rsid w:val="00C3509A"/>
    <w:rsid w:val="00C36725"/>
    <w:rsid w:val="00C3680A"/>
    <w:rsid w:val="00C36EFA"/>
    <w:rsid w:val="00C40B07"/>
    <w:rsid w:val="00C40CB5"/>
    <w:rsid w:val="00C412EE"/>
    <w:rsid w:val="00C41E05"/>
    <w:rsid w:val="00C42799"/>
    <w:rsid w:val="00C43237"/>
    <w:rsid w:val="00C432B8"/>
    <w:rsid w:val="00C446DA"/>
    <w:rsid w:val="00C448F9"/>
    <w:rsid w:val="00C44A9B"/>
    <w:rsid w:val="00C46488"/>
    <w:rsid w:val="00C504C5"/>
    <w:rsid w:val="00C50EB3"/>
    <w:rsid w:val="00C554B4"/>
    <w:rsid w:val="00C57B52"/>
    <w:rsid w:val="00C62B54"/>
    <w:rsid w:val="00C64285"/>
    <w:rsid w:val="00C64E9C"/>
    <w:rsid w:val="00C6707F"/>
    <w:rsid w:val="00C70BAF"/>
    <w:rsid w:val="00C72DDA"/>
    <w:rsid w:val="00C73620"/>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B55"/>
    <w:rsid w:val="00CC0792"/>
    <w:rsid w:val="00CC0FDF"/>
    <w:rsid w:val="00CC1336"/>
    <w:rsid w:val="00CC5C28"/>
    <w:rsid w:val="00CC5D0C"/>
    <w:rsid w:val="00CC6FED"/>
    <w:rsid w:val="00CC736B"/>
    <w:rsid w:val="00CC74B6"/>
    <w:rsid w:val="00CD0054"/>
    <w:rsid w:val="00CD0E8A"/>
    <w:rsid w:val="00CD1028"/>
    <w:rsid w:val="00CD1F3F"/>
    <w:rsid w:val="00CD3D54"/>
    <w:rsid w:val="00CD4301"/>
    <w:rsid w:val="00CD45BC"/>
    <w:rsid w:val="00CD5B67"/>
    <w:rsid w:val="00CD7C32"/>
    <w:rsid w:val="00CE210A"/>
    <w:rsid w:val="00CE2C0D"/>
    <w:rsid w:val="00CE3679"/>
    <w:rsid w:val="00CE3842"/>
    <w:rsid w:val="00CE3E00"/>
    <w:rsid w:val="00CE795B"/>
    <w:rsid w:val="00CF2B06"/>
    <w:rsid w:val="00CF32E0"/>
    <w:rsid w:val="00CF412C"/>
    <w:rsid w:val="00CF5F6F"/>
    <w:rsid w:val="00CF6A0C"/>
    <w:rsid w:val="00D01303"/>
    <w:rsid w:val="00D0493C"/>
    <w:rsid w:val="00D06095"/>
    <w:rsid w:val="00D06C01"/>
    <w:rsid w:val="00D079C6"/>
    <w:rsid w:val="00D10E1F"/>
    <w:rsid w:val="00D1105B"/>
    <w:rsid w:val="00D118B9"/>
    <w:rsid w:val="00D15000"/>
    <w:rsid w:val="00D15D3B"/>
    <w:rsid w:val="00D21719"/>
    <w:rsid w:val="00D22592"/>
    <w:rsid w:val="00D237F9"/>
    <w:rsid w:val="00D24866"/>
    <w:rsid w:val="00D25B49"/>
    <w:rsid w:val="00D268CB"/>
    <w:rsid w:val="00D305B7"/>
    <w:rsid w:val="00D33BDD"/>
    <w:rsid w:val="00D40069"/>
    <w:rsid w:val="00D401E6"/>
    <w:rsid w:val="00D41348"/>
    <w:rsid w:val="00D518C8"/>
    <w:rsid w:val="00D51D3C"/>
    <w:rsid w:val="00D53176"/>
    <w:rsid w:val="00D542B9"/>
    <w:rsid w:val="00D55377"/>
    <w:rsid w:val="00D5564F"/>
    <w:rsid w:val="00D57587"/>
    <w:rsid w:val="00D5774A"/>
    <w:rsid w:val="00D577AD"/>
    <w:rsid w:val="00D6137E"/>
    <w:rsid w:val="00D6159F"/>
    <w:rsid w:val="00D63164"/>
    <w:rsid w:val="00D63C7B"/>
    <w:rsid w:val="00D6434A"/>
    <w:rsid w:val="00D64CF8"/>
    <w:rsid w:val="00D679F3"/>
    <w:rsid w:val="00D734AF"/>
    <w:rsid w:val="00D7558B"/>
    <w:rsid w:val="00D76655"/>
    <w:rsid w:val="00D804F4"/>
    <w:rsid w:val="00D80B4D"/>
    <w:rsid w:val="00D81E04"/>
    <w:rsid w:val="00D81F12"/>
    <w:rsid w:val="00D828DB"/>
    <w:rsid w:val="00D8370B"/>
    <w:rsid w:val="00D8573F"/>
    <w:rsid w:val="00D86157"/>
    <w:rsid w:val="00D91953"/>
    <w:rsid w:val="00D92FBD"/>
    <w:rsid w:val="00DA431E"/>
    <w:rsid w:val="00DA6599"/>
    <w:rsid w:val="00DB14AF"/>
    <w:rsid w:val="00DB1941"/>
    <w:rsid w:val="00DB1CDF"/>
    <w:rsid w:val="00DB2AF4"/>
    <w:rsid w:val="00DB5347"/>
    <w:rsid w:val="00DB798F"/>
    <w:rsid w:val="00DB7FB6"/>
    <w:rsid w:val="00DC0563"/>
    <w:rsid w:val="00DC2DDF"/>
    <w:rsid w:val="00DC315B"/>
    <w:rsid w:val="00DC6173"/>
    <w:rsid w:val="00DD0934"/>
    <w:rsid w:val="00DD28E5"/>
    <w:rsid w:val="00DE003E"/>
    <w:rsid w:val="00DE10A9"/>
    <w:rsid w:val="00DE1711"/>
    <w:rsid w:val="00DE2595"/>
    <w:rsid w:val="00DE514E"/>
    <w:rsid w:val="00DE7B8B"/>
    <w:rsid w:val="00DE7BE5"/>
    <w:rsid w:val="00DF0192"/>
    <w:rsid w:val="00DF01A6"/>
    <w:rsid w:val="00DF0584"/>
    <w:rsid w:val="00DF0C48"/>
    <w:rsid w:val="00DF284D"/>
    <w:rsid w:val="00DF388E"/>
    <w:rsid w:val="00DF4E15"/>
    <w:rsid w:val="00DF533A"/>
    <w:rsid w:val="00DF7DA1"/>
    <w:rsid w:val="00E00EC2"/>
    <w:rsid w:val="00E022AD"/>
    <w:rsid w:val="00E0370F"/>
    <w:rsid w:val="00E03AAE"/>
    <w:rsid w:val="00E05F83"/>
    <w:rsid w:val="00E06A7F"/>
    <w:rsid w:val="00E10963"/>
    <w:rsid w:val="00E1150C"/>
    <w:rsid w:val="00E1246A"/>
    <w:rsid w:val="00E125ED"/>
    <w:rsid w:val="00E13E33"/>
    <w:rsid w:val="00E16422"/>
    <w:rsid w:val="00E168CD"/>
    <w:rsid w:val="00E16F69"/>
    <w:rsid w:val="00E17114"/>
    <w:rsid w:val="00E2051A"/>
    <w:rsid w:val="00E21809"/>
    <w:rsid w:val="00E240A1"/>
    <w:rsid w:val="00E25089"/>
    <w:rsid w:val="00E257AD"/>
    <w:rsid w:val="00E262BC"/>
    <w:rsid w:val="00E2637D"/>
    <w:rsid w:val="00E31574"/>
    <w:rsid w:val="00E32087"/>
    <w:rsid w:val="00E3306F"/>
    <w:rsid w:val="00E34A9B"/>
    <w:rsid w:val="00E36E0C"/>
    <w:rsid w:val="00E36ED5"/>
    <w:rsid w:val="00E37166"/>
    <w:rsid w:val="00E419B2"/>
    <w:rsid w:val="00E42435"/>
    <w:rsid w:val="00E42ED6"/>
    <w:rsid w:val="00E4377F"/>
    <w:rsid w:val="00E44FFA"/>
    <w:rsid w:val="00E5022B"/>
    <w:rsid w:val="00E50EAE"/>
    <w:rsid w:val="00E51F0B"/>
    <w:rsid w:val="00E5306F"/>
    <w:rsid w:val="00E53152"/>
    <w:rsid w:val="00E54CE8"/>
    <w:rsid w:val="00E5655C"/>
    <w:rsid w:val="00E5655F"/>
    <w:rsid w:val="00E56B43"/>
    <w:rsid w:val="00E571CD"/>
    <w:rsid w:val="00E5730F"/>
    <w:rsid w:val="00E60482"/>
    <w:rsid w:val="00E60A65"/>
    <w:rsid w:val="00E61F6D"/>
    <w:rsid w:val="00E63F7A"/>
    <w:rsid w:val="00E6552D"/>
    <w:rsid w:val="00E6701A"/>
    <w:rsid w:val="00E67F39"/>
    <w:rsid w:val="00E70CEA"/>
    <w:rsid w:val="00E72303"/>
    <w:rsid w:val="00E730D5"/>
    <w:rsid w:val="00E741FC"/>
    <w:rsid w:val="00E74BB2"/>
    <w:rsid w:val="00E74F25"/>
    <w:rsid w:val="00E75843"/>
    <w:rsid w:val="00E75FA5"/>
    <w:rsid w:val="00E7714A"/>
    <w:rsid w:val="00E81AB1"/>
    <w:rsid w:val="00E82AAF"/>
    <w:rsid w:val="00E85D32"/>
    <w:rsid w:val="00E861F5"/>
    <w:rsid w:val="00E862C0"/>
    <w:rsid w:val="00E879BE"/>
    <w:rsid w:val="00E91A9E"/>
    <w:rsid w:val="00E91DC5"/>
    <w:rsid w:val="00E92AF1"/>
    <w:rsid w:val="00E93E43"/>
    <w:rsid w:val="00E94AB4"/>
    <w:rsid w:val="00E9508F"/>
    <w:rsid w:val="00E96511"/>
    <w:rsid w:val="00EA0D1D"/>
    <w:rsid w:val="00EA43CC"/>
    <w:rsid w:val="00EB1C4B"/>
    <w:rsid w:val="00EB2ADE"/>
    <w:rsid w:val="00EB3574"/>
    <w:rsid w:val="00EB4A88"/>
    <w:rsid w:val="00EB5EE6"/>
    <w:rsid w:val="00EB6A59"/>
    <w:rsid w:val="00EB6BA5"/>
    <w:rsid w:val="00EC0C9D"/>
    <w:rsid w:val="00EC0D0A"/>
    <w:rsid w:val="00EC54CD"/>
    <w:rsid w:val="00EC5825"/>
    <w:rsid w:val="00EC6A5E"/>
    <w:rsid w:val="00EC6E13"/>
    <w:rsid w:val="00ED009E"/>
    <w:rsid w:val="00ED1D25"/>
    <w:rsid w:val="00ED481D"/>
    <w:rsid w:val="00ED5083"/>
    <w:rsid w:val="00ED6520"/>
    <w:rsid w:val="00ED706E"/>
    <w:rsid w:val="00EF102E"/>
    <w:rsid w:val="00EF2A44"/>
    <w:rsid w:val="00EF3234"/>
    <w:rsid w:val="00EF3DC8"/>
    <w:rsid w:val="00EF404C"/>
    <w:rsid w:val="00EF6D5B"/>
    <w:rsid w:val="00EF79DD"/>
    <w:rsid w:val="00F0262F"/>
    <w:rsid w:val="00F10080"/>
    <w:rsid w:val="00F10D4C"/>
    <w:rsid w:val="00F115AA"/>
    <w:rsid w:val="00F117BC"/>
    <w:rsid w:val="00F13551"/>
    <w:rsid w:val="00F13E43"/>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2B6D"/>
    <w:rsid w:val="00F43F1D"/>
    <w:rsid w:val="00F443D2"/>
    <w:rsid w:val="00F45BE8"/>
    <w:rsid w:val="00F47812"/>
    <w:rsid w:val="00F51043"/>
    <w:rsid w:val="00F5112B"/>
    <w:rsid w:val="00F53FCA"/>
    <w:rsid w:val="00F62301"/>
    <w:rsid w:val="00F627AC"/>
    <w:rsid w:val="00F6282D"/>
    <w:rsid w:val="00F62D5A"/>
    <w:rsid w:val="00F6439A"/>
    <w:rsid w:val="00F66100"/>
    <w:rsid w:val="00F703B2"/>
    <w:rsid w:val="00F70EFE"/>
    <w:rsid w:val="00F7180D"/>
    <w:rsid w:val="00F71B08"/>
    <w:rsid w:val="00F74522"/>
    <w:rsid w:val="00F755E9"/>
    <w:rsid w:val="00F76639"/>
    <w:rsid w:val="00F77419"/>
    <w:rsid w:val="00F84163"/>
    <w:rsid w:val="00F87135"/>
    <w:rsid w:val="00F875C9"/>
    <w:rsid w:val="00F878A9"/>
    <w:rsid w:val="00F90529"/>
    <w:rsid w:val="00F90831"/>
    <w:rsid w:val="00F90B27"/>
    <w:rsid w:val="00F90FE5"/>
    <w:rsid w:val="00F91D08"/>
    <w:rsid w:val="00F91DB8"/>
    <w:rsid w:val="00F93567"/>
    <w:rsid w:val="00F93EA8"/>
    <w:rsid w:val="00F94B94"/>
    <w:rsid w:val="00F956FB"/>
    <w:rsid w:val="00F96419"/>
    <w:rsid w:val="00FA126B"/>
    <w:rsid w:val="00FA6342"/>
    <w:rsid w:val="00FA668B"/>
    <w:rsid w:val="00FA7875"/>
    <w:rsid w:val="00FB06F2"/>
    <w:rsid w:val="00FB23BD"/>
    <w:rsid w:val="00FB302D"/>
    <w:rsid w:val="00FB7050"/>
    <w:rsid w:val="00FB7143"/>
    <w:rsid w:val="00FB716C"/>
    <w:rsid w:val="00FC159E"/>
    <w:rsid w:val="00FC2015"/>
    <w:rsid w:val="00FC21E9"/>
    <w:rsid w:val="00FC24D8"/>
    <w:rsid w:val="00FC29E0"/>
    <w:rsid w:val="00FC35D0"/>
    <w:rsid w:val="00FC725F"/>
    <w:rsid w:val="00FC7B56"/>
    <w:rsid w:val="00FD3EAE"/>
    <w:rsid w:val="00FD7729"/>
    <w:rsid w:val="00FE07CD"/>
    <w:rsid w:val="00FE1032"/>
    <w:rsid w:val="00FE3FB5"/>
    <w:rsid w:val="00FE429B"/>
    <w:rsid w:val="00FE7877"/>
    <w:rsid w:val="00FE7ADF"/>
    <w:rsid w:val="00FE7BEF"/>
    <w:rsid w:val="00FF0BA4"/>
    <w:rsid w:val="00FF1CA3"/>
    <w:rsid w:val="00FF46B7"/>
    <w:rsid w:val="00FF4A4E"/>
    <w:rsid w:val="00FF5905"/>
    <w:rsid w:val="00FF7844"/>
    <w:rsid w:val="13CC4971"/>
    <w:rsid w:val="16CA6460"/>
    <w:rsid w:val="26A76454"/>
    <w:rsid w:val="563D7838"/>
    <w:rsid w:val="6ED801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5:docId w15:val="{EA2FD237-B40F-42E4-95DC-7EB62285A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unhideWhenUsed="1"/>
    <w:lsdException w:name="header" w:uiPriority="0"/>
    <w:lsdException w:name="footer" w:uiPriority="0"/>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uiPriority="0"/>
    <w:lsdException w:name="Strong" w:uiPriority="22" w:qFormat="1"/>
    <w:lsdException w:name="Emphasis" w:uiPriority="20" w:qFormat="1"/>
    <w:lsdException w:name="Document Map" w:semiHidden="1" w:unhideWhenUsed="1"/>
    <w:lsdException w:name="Plain Text"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jc w:val="both"/>
    </w:pPr>
    <w:rPr>
      <w:rFonts w:ascii="Cambria" w:eastAsia="Times New Roman" w:hAnsi="Cambria"/>
      <w:sz w:val="24"/>
      <w:szCs w:val="22"/>
    </w:rPr>
  </w:style>
  <w:style w:type="paragraph" w:styleId="Heading1">
    <w:name w:val="heading 1"/>
    <w:basedOn w:val="Default"/>
    <w:next w:val="Normal"/>
    <w:link w:val="Heading1Char"/>
    <w:qFormat/>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pPr>
      <w:tabs>
        <w:tab w:val="left" w:pos="3525"/>
      </w:tabs>
      <w:outlineLvl w:val="1"/>
    </w:pPr>
    <w:rPr>
      <w:rFonts w:cs="Arial"/>
      <w:b/>
      <w:bCs/>
      <w:color w:val="E36C0A" w:themeColor="accent6" w:themeShade="BF"/>
      <w:sz w:val="36"/>
      <w:szCs w:val="36"/>
      <w:lang w:val="en-GB" w:eastAsia="zh-CN"/>
    </w:rPr>
  </w:style>
  <w:style w:type="paragraph" w:styleId="Heading3">
    <w:name w:val="heading 3"/>
    <w:basedOn w:val="Heading5"/>
    <w:next w:val="Normal"/>
    <w:link w:val="Heading3Char"/>
    <w:qFormat/>
    <w:pPr>
      <w:outlineLvl w:val="2"/>
    </w:pPr>
    <w:rPr>
      <w:color w:val="auto"/>
      <w:sz w:val="26"/>
      <w:szCs w:val="26"/>
    </w:rPr>
  </w:style>
  <w:style w:type="paragraph" w:styleId="Heading4">
    <w:name w:val="heading 4"/>
    <w:basedOn w:val="NoSpacing"/>
    <w:next w:val="Normal"/>
    <w:link w:val="Heading4Char"/>
    <w:qFormat/>
    <w:pPr>
      <w:spacing w:before="360" w:after="120"/>
      <w:ind w:left="0"/>
      <w:outlineLvl w:val="3"/>
    </w:pPr>
    <w:rPr>
      <w:b/>
      <w:szCs w:val="24"/>
    </w:rPr>
  </w:style>
  <w:style w:type="paragraph" w:styleId="Heading5">
    <w:name w:val="heading 5"/>
    <w:basedOn w:val="Heading4"/>
    <w:next w:val="Normal"/>
    <w:link w:val="Heading5Char"/>
    <w:qFormat/>
    <w:pPr>
      <w:outlineLvl w:val="4"/>
    </w:pPr>
    <w:rPr>
      <w:bCs/>
      <w:color w:val="31849B"/>
      <w:sz w:val="28"/>
      <w:szCs w:val="28"/>
    </w:rPr>
  </w:style>
  <w:style w:type="paragraph" w:styleId="Heading6">
    <w:name w:val="heading 6"/>
    <w:basedOn w:val="Heading5"/>
    <w:next w:val="Normal"/>
    <w:link w:val="Heading6Char"/>
    <w:uiPriority w:val="9"/>
    <w:unhideWhenUsed/>
    <w:qFormat/>
    <w:pPr>
      <w:spacing w:before="120"/>
      <w:jc w:val="center"/>
      <w:outlineLvl w:val="5"/>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paragraph" w:styleId="NoSpacing">
    <w:name w:val="No Spacing"/>
    <w:basedOn w:val="Normal"/>
    <w:link w:val="NoSpacingChar"/>
    <w:uiPriority w:val="1"/>
    <w:qFormat/>
    <w:pPr>
      <w:spacing w:before="120" w:after="0"/>
      <w:ind w:left="142"/>
    </w:pPr>
  </w:style>
  <w:style w:type="paragraph" w:styleId="BalloonText">
    <w:name w:val="Balloon Text"/>
    <w:basedOn w:val="Normal"/>
    <w:link w:val="BalloonTextChar"/>
    <w:semiHidden/>
    <w:pPr>
      <w:spacing w:after="0"/>
    </w:pPr>
    <w:rPr>
      <w:rFonts w:ascii="Tahoma" w:hAnsi="Tahoma" w:cs="Tahoma"/>
      <w:sz w:val="16"/>
      <w:szCs w:val="16"/>
    </w:rPr>
  </w:style>
  <w:style w:type="paragraph" w:styleId="BodyText">
    <w:name w:val="Body Text"/>
    <w:basedOn w:val="Normal"/>
    <w:link w:val="BodyTextChar"/>
    <w:pPr>
      <w:spacing w:before="120" w:after="240" w:line="360" w:lineRule="auto"/>
    </w:pPr>
    <w:rPr>
      <w:rFonts w:ascii="Arial" w:eastAsia="Calibri" w:hAnsi="Arial"/>
      <w:szCs w:val="24"/>
      <w:lang w:val="en-GB"/>
    </w:rPr>
  </w:style>
  <w:style w:type="paragraph" w:styleId="Caption">
    <w:name w:val="caption"/>
    <w:basedOn w:val="Normal"/>
    <w:next w:val="Normal"/>
    <w:uiPriority w:val="35"/>
    <w:unhideWhenUsed/>
    <w:qFormat/>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0"/>
    </w:pPr>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pPr>
      <w:spacing w:after="200" w:line="276" w:lineRule="auto"/>
    </w:pPr>
    <w:rPr>
      <w:rFonts w:ascii="Cambria" w:hAnsi="Cambria"/>
      <w:b/>
      <w:bCs/>
      <w:lang w:val="en-US"/>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jc w:val="left"/>
    </w:pPr>
    <w:rPr>
      <w:rFonts w:asciiTheme="minorHAnsi" w:eastAsiaTheme="minorEastAsia" w:hAnsiTheme="minorHAnsi" w:cstheme="minorBidi"/>
      <w:szCs w:val="24"/>
      <w:lang w:val="en-GB" w:eastAsia="zh-CN"/>
    </w:rPr>
  </w:style>
  <w:style w:type="character" w:styleId="FollowedHyperlink">
    <w:name w:val="FollowedHyperlink"/>
    <w:basedOn w:val="DefaultParagraphFont"/>
    <w:rPr>
      <w:color w:val="800080"/>
      <w:u w:val="single"/>
    </w:rPr>
  </w:style>
  <w:style w:type="paragraph" w:styleId="Footer">
    <w:name w:val="footer"/>
    <w:basedOn w:val="Normal"/>
    <w:link w:val="FooterChar"/>
    <w:pPr>
      <w:tabs>
        <w:tab w:val="center" w:pos="4680"/>
        <w:tab w:val="right" w:pos="9360"/>
      </w:tabs>
      <w:spacing w:after="0"/>
    </w:pPr>
  </w:style>
  <w:style w:type="character" w:styleId="FootnoteReference">
    <w:name w:val="footnote reference"/>
    <w:basedOn w:val="DefaultParagraphFont"/>
    <w:uiPriority w:val="99"/>
    <w:semiHidden/>
    <w:rPr>
      <w:vertAlign w:val="superscript"/>
    </w:rPr>
  </w:style>
  <w:style w:type="paragraph" w:styleId="FootnoteText">
    <w:name w:val="footnote text"/>
    <w:basedOn w:val="Normal"/>
    <w:link w:val="FootnoteTextChar"/>
    <w:uiPriority w:val="99"/>
    <w:semiHidden/>
    <w:pPr>
      <w:spacing w:before="60"/>
    </w:pPr>
    <w:rPr>
      <w:rFonts w:eastAsia="Calibri" w:cs="Calibri"/>
      <w:sz w:val="20"/>
      <w:szCs w:val="20"/>
      <w:lang w:val="ru-RU"/>
    </w:rPr>
  </w:style>
  <w:style w:type="paragraph" w:styleId="Header">
    <w:name w:val="header"/>
    <w:basedOn w:val="Normal"/>
    <w:link w:val="HeaderChar"/>
    <w:pPr>
      <w:tabs>
        <w:tab w:val="center" w:pos="4680"/>
        <w:tab w:val="right" w:pos="9360"/>
      </w:tabs>
      <w:spacing w:after="0"/>
    </w:pPr>
  </w:style>
  <w:style w:type="character" w:styleId="Hyperlink">
    <w:name w:val="Hyperlink"/>
    <w:basedOn w:val="DefaultParagraphFont"/>
    <w:uiPriority w:val="99"/>
    <w:rPr>
      <w:color w:val="31849B" w:themeColor="accent5" w:themeShade="BF"/>
      <w:u w:val="single"/>
    </w:rPr>
  </w:style>
  <w:style w:type="paragraph" w:styleId="NormalWeb">
    <w:name w:val="Normal (Web)"/>
    <w:basedOn w:val="Normal"/>
    <w:uiPriority w:val="99"/>
    <w:pPr>
      <w:spacing w:after="60"/>
      <w:ind w:left="30" w:right="60"/>
    </w:pPr>
    <w:rPr>
      <w:rFonts w:ascii="Times New Roman" w:eastAsia="Calibri" w:hAnsi="Times New Roman"/>
      <w:color w:val="222222"/>
      <w:sz w:val="18"/>
      <w:szCs w:val="18"/>
      <w:lang w:bidi="en-US"/>
    </w:rPr>
  </w:style>
  <w:style w:type="paragraph" w:styleId="PlainText">
    <w:name w:val="Plain Text"/>
    <w:basedOn w:val="Normal"/>
    <w:link w:val="PlainTextChar"/>
    <w:uiPriority w:val="99"/>
    <w:unhideWhenUsed/>
    <w:pPr>
      <w:spacing w:after="0"/>
    </w:pPr>
    <w:rPr>
      <w:rFonts w:ascii="Calibri" w:eastAsiaTheme="minorHAnsi" w:hAnsi="Calibri" w:cs="Consolas"/>
      <w:szCs w:val="21"/>
    </w:rPr>
  </w:style>
  <w:style w:type="character" w:styleId="Strong">
    <w:name w:val="Strong"/>
    <w:basedOn w:val="DefaultParagraphFont"/>
    <w:uiPriority w:val="22"/>
    <w:qFormat/>
    <w:rPr>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customStyle="1" w:styleId="NoSpacingChar">
    <w:name w:val="No Spacing Char"/>
    <w:basedOn w:val="DefaultParagraphFont"/>
    <w:link w:val="NoSpacing"/>
    <w:uiPriority w:val="1"/>
    <w:rPr>
      <w:rFonts w:ascii="Cambria" w:hAnsi="Cambria" w:cs="Times New Roman"/>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HeaderChar">
    <w:name w:val="Header Char"/>
    <w:basedOn w:val="DefaultParagraphFont"/>
    <w:link w:val="Header"/>
    <w:rPr>
      <w:rFonts w:cs="Times New Roman"/>
    </w:rPr>
  </w:style>
  <w:style w:type="character" w:customStyle="1" w:styleId="FooterChar">
    <w:name w:val="Footer Char"/>
    <w:basedOn w:val="DefaultParagraphFont"/>
    <w:link w:val="Footer"/>
    <w:rPr>
      <w:rFonts w:cs="Times New Roman"/>
    </w:rPr>
  </w:style>
  <w:style w:type="character" w:customStyle="1" w:styleId="Heading1Char">
    <w:name w:val="Heading 1 Char"/>
    <w:basedOn w:val="DefaultParagraphFont"/>
    <w:link w:val="Heading1"/>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Pr>
      <w:rFonts w:ascii="Cambria" w:eastAsia="Times New Roman" w:hAnsi="Cambria" w:cs="Arial"/>
      <w:b/>
      <w:bCs/>
      <w:color w:val="E36C0A" w:themeColor="accent6" w:themeShade="BF"/>
      <w:sz w:val="36"/>
      <w:szCs w:val="36"/>
      <w:lang w:val="en-GB" w:eastAsia="zh-CN"/>
    </w:rPr>
  </w:style>
  <w:style w:type="character" w:customStyle="1" w:styleId="Heading3Char">
    <w:name w:val="Heading 3 Char"/>
    <w:basedOn w:val="DefaultParagraphFont"/>
    <w:link w:val="Heading3"/>
    <w:rPr>
      <w:rFonts w:ascii="Cambria" w:eastAsia="Times New Roman" w:hAnsi="Cambria"/>
      <w:b/>
      <w:bCs/>
      <w:sz w:val="26"/>
      <w:szCs w:val="26"/>
    </w:rPr>
  </w:style>
  <w:style w:type="character" w:customStyle="1" w:styleId="BodyTextChar">
    <w:name w:val="Body Text Char"/>
    <w:basedOn w:val="DefaultParagraphFont"/>
    <w:link w:val="BodyText"/>
    <w:rPr>
      <w:rFonts w:ascii="Arial" w:hAnsi="Arial" w:cs="Times New Roman"/>
      <w:sz w:val="24"/>
      <w:szCs w:val="24"/>
      <w:lang w:val="en-GB"/>
    </w:rPr>
  </w:style>
  <w:style w:type="character" w:customStyle="1" w:styleId="Heading4Char">
    <w:name w:val="Heading 4 Char"/>
    <w:basedOn w:val="DefaultParagraphFont"/>
    <w:link w:val="Heading4"/>
    <w:rPr>
      <w:rFonts w:ascii="Cambria" w:eastAsia="Times New Roman" w:hAnsi="Cambria"/>
      <w:b/>
      <w:sz w:val="24"/>
      <w:szCs w:val="24"/>
    </w:rPr>
  </w:style>
  <w:style w:type="paragraph" w:styleId="ListParagraph">
    <w:name w:val="List Paragraph"/>
    <w:basedOn w:val="NoSpacing"/>
    <w:link w:val="ListParagraphChar"/>
    <w:uiPriority w:val="34"/>
    <w:qFormat/>
    <w:pPr>
      <w:numPr>
        <w:numId w:val="1"/>
      </w:numPr>
      <w:spacing w:before="0" w:after="160" w:line="259" w:lineRule="auto"/>
    </w:pPr>
  </w:style>
  <w:style w:type="character" w:customStyle="1" w:styleId="Heading5Char">
    <w:name w:val="Heading 5 Char"/>
    <w:basedOn w:val="DefaultParagraphFont"/>
    <w:link w:val="Heading5"/>
    <w:rPr>
      <w:rFonts w:ascii="Cambria" w:eastAsia="Times New Roman" w:hAnsi="Cambria"/>
      <w:b/>
      <w:bCs/>
      <w:color w:val="31849B"/>
      <w:sz w:val="28"/>
      <w:szCs w:val="28"/>
    </w:rPr>
  </w:style>
  <w:style w:type="character" w:customStyle="1" w:styleId="Char8">
    <w:name w:val="Char8"/>
    <w:rPr>
      <w:rFonts w:ascii="Cambria" w:hAnsi="Cambria" w:cs="Arial"/>
      <w:b/>
      <w:color w:val="C00000"/>
      <w:sz w:val="36"/>
      <w:szCs w:val="36"/>
    </w:rPr>
  </w:style>
  <w:style w:type="character" w:customStyle="1" w:styleId="EmailStyle37">
    <w:name w:val="EmailStyle37"/>
    <w:basedOn w:val="DefaultParagraphFont"/>
    <w:semiHidden/>
    <w:rPr>
      <w:rFonts w:ascii="Arial" w:hAnsi="Arial" w:cs="Arial"/>
      <w:color w:val="auto"/>
      <w:sz w:val="20"/>
      <w:szCs w:val="20"/>
    </w:rPr>
  </w:style>
  <w:style w:type="character" w:customStyle="1" w:styleId="apple-converted-space">
    <w:name w:val="apple-converted-space"/>
    <w:basedOn w:val="DefaultParagraphFont"/>
  </w:style>
  <w:style w:type="character" w:customStyle="1" w:styleId="FootnoteTextChar">
    <w:name w:val="Footnote Text Char"/>
    <w:basedOn w:val="DefaultParagraphFont"/>
    <w:link w:val="FootnoteText"/>
    <w:uiPriority w:val="99"/>
    <w:semiHidden/>
    <w:rPr>
      <w:rFonts w:ascii="Cambria" w:hAnsi="Cambria" w:cs="Calibri"/>
      <w:lang w:val="ru-RU"/>
    </w:rPr>
  </w:style>
  <w:style w:type="paragraph" w:customStyle="1" w:styleId="bodytext0">
    <w:name w:val="bodytext"/>
    <w:basedOn w:val="Normal"/>
    <w:pPr>
      <w:spacing w:after="60"/>
      <w:ind w:left="30" w:right="60"/>
    </w:pPr>
    <w:rPr>
      <w:rFonts w:ascii="Times New Roman" w:hAnsi="Times New Roman"/>
      <w:color w:val="222222"/>
      <w:sz w:val="18"/>
      <w:szCs w:val="18"/>
    </w:rPr>
  </w:style>
  <w:style w:type="paragraph" w:customStyle="1" w:styleId="Heading34">
    <w:name w:val="Heading 34"/>
    <w:basedOn w:val="Normal"/>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pPr>
      <w:spacing w:after="0"/>
      <w:ind w:left="720"/>
      <w:contextualSpacing/>
    </w:pPr>
    <w:rPr>
      <w:rFonts w:ascii="Times New Roman" w:hAnsi="Times New Roman"/>
      <w:szCs w:val="24"/>
      <w:lang w:val="en-GB"/>
    </w:rPr>
  </w:style>
  <w:style w:type="character" w:customStyle="1" w:styleId="CommentTextChar">
    <w:name w:val="Comment Text Char"/>
    <w:basedOn w:val="DefaultParagraphFont"/>
    <w:link w:val="CommentText"/>
    <w:uiPriority w:val="99"/>
    <w:rPr>
      <w:rFonts w:ascii="Times New Roman" w:eastAsia="Times New Roman" w:hAnsi="Times New Roman"/>
      <w:lang w:val="en-GB"/>
    </w:rPr>
  </w:style>
  <w:style w:type="character" w:customStyle="1" w:styleId="CommentSubjectChar">
    <w:name w:val="Comment Subject Char"/>
    <w:basedOn w:val="CommentTextChar"/>
    <w:link w:val="CommentSubject"/>
    <w:rPr>
      <w:rFonts w:ascii="Times New Roman" w:eastAsia="Times New Roman" w:hAnsi="Times New Roman"/>
      <w:lang w:val="en-GB"/>
    </w:rPr>
  </w:style>
  <w:style w:type="paragraph" w:customStyle="1" w:styleId="top">
    <w:name w:val="top"/>
    <w:basedOn w:val="Header"/>
    <w:qFormat/>
    <w:pPr>
      <w:jc w:val="left"/>
    </w:pPr>
    <w:rPr>
      <w:b/>
      <w:color w:val="31849B"/>
      <w:sz w:val="20"/>
      <w:szCs w:val="20"/>
    </w:rPr>
  </w:style>
  <w:style w:type="character" w:customStyle="1" w:styleId="name">
    <w:name w:val="name"/>
    <w:basedOn w:val="DefaultParagraphFont"/>
  </w:style>
  <w:style w:type="character" w:customStyle="1" w:styleId="country">
    <w:name w:val="country"/>
    <w:basedOn w:val="DefaultParagraphFont"/>
  </w:style>
  <w:style w:type="character" w:customStyle="1" w:styleId="st">
    <w:name w:val="st"/>
    <w:basedOn w:val="DefaultParagraphFont"/>
  </w:style>
  <w:style w:type="character" w:customStyle="1" w:styleId="IntenseEmphasis1">
    <w:name w:val="Intense Emphasis1"/>
    <w:basedOn w:val="DefaultParagraphFont"/>
    <w:uiPriority w:val="21"/>
    <w:qFormat/>
    <w:rPr>
      <w:b/>
      <w:bCs/>
      <w:i/>
      <w:iCs/>
      <w:color w:val="4F81BD" w:themeColor="accent1"/>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Cambria" w:eastAsia="Times New Roman" w:hAnsi="Cambria"/>
      <w:i/>
      <w:iCs/>
      <w:color w:val="000000" w:themeColor="text1"/>
      <w:sz w:val="22"/>
      <w:szCs w:val="22"/>
    </w:rPr>
  </w:style>
  <w:style w:type="character" w:customStyle="1" w:styleId="response-text2">
    <w:name w:val="response-text2"/>
    <w:basedOn w:val="DefaultParagraphFont"/>
  </w:style>
  <w:style w:type="character" w:customStyle="1" w:styleId="hps">
    <w:name w:val="hps"/>
    <w:basedOn w:val="DefaultParagraphFont"/>
  </w:style>
  <w:style w:type="paragraph" w:customStyle="1" w:styleId="xmsonormal">
    <w:name w:val="x_msonormal"/>
    <w:basedOn w:val="Normal"/>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pPr>
      <w:spacing w:before="100" w:beforeAutospacing="1" w:after="100" w:afterAutospacing="1"/>
    </w:pPr>
    <w:rPr>
      <w:rFonts w:ascii="Times New Roman" w:hAnsi="Times New Roman"/>
      <w:szCs w:val="24"/>
      <w:lang w:val="it-IT" w:eastAsia="it-IT"/>
    </w:rPr>
  </w:style>
  <w:style w:type="character" w:customStyle="1" w:styleId="PlainTextChar">
    <w:name w:val="Plain Text Char"/>
    <w:basedOn w:val="DefaultParagraphFont"/>
    <w:link w:val="PlainText"/>
    <w:uiPriority w:val="99"/>
    <w:rPr>
      <w:rFonts w:eastAsiaTheme="minorHAnsi" w:cs="Consolas"/>
      <w:sz w:val="22"/>
      <w:szCs w:val="21"/>
    </w:rPr>
  </w:style>
  <w:style w:type="paragraph" w:customStyle="1" w:styleId="facilitator">
    <w:name w:val="facilitator"/>
    <w:basedOn w:val="Normal"/>
    <w:qFormat/>
    <w:pPr>
      <w:spacing w:before="240" w:line="276" w:lineRule="auto"/>
      <w:jc w:val="left"/>
    </w:pPr>
    <w:rPr>
      <w:i/>
    </w:rPr>
  </w:style>
  <w:style w:type="character" w:customStyle="1" w:styleId="Heading6Char">
    <w:name w:val="Heading 6 Char"/>
    <w:basedOn w:val="DefaultParagraphFont"/>
    <w:link w:val="Heading6"/>
    <w:uiPriority w:val="9"/>
    <w:rPr>
      <w:rFonts w:ascii="Cambria" w:eastAsia="Times New Roman" w:hAnsi="Cambria"/>
      <w:b/>
      <w:bCs/>
      <w:sz w:val="28"/>
      <w:szCs w:val="28"/>
    </w:rPr>
  </w:style>
  <w:style w:type="character" w:customStyle="1" w:styleId="EndnoteTextChar">
    <w:name w:val="Endnote Text Char"/>
    <w:basedOn w:val="DefaultParagraphFont"/>
    <w:link w:val="EndnoteText"/>
    <w:uiPriority w:val="99"/>
    <w:semiHidden/>
    <w:rPr>
      <w:rFonts w:asciiTheme="minorHAnsi" w:eastAsiaTheme="minorEastAsia" w:hAnsiTheme="minorHAnsi" w:cstheme="minorBidi"/>
      <w:sz w:val="24"/>
      <w:szCs w:val="24"/>
      <w:lang w:val="en-GB" w:eastAsia="zh-CN"/>
    </w:rPr>
  </w:style>
  <w:style w:type="paragraph" w:customStyle="1" w:styleId="ColorfulList-Accent11">
    <w:name w:val="Colorful List - Accent 11"/>
    <w:basedOn w:val="Normal"/>
    <w:uiPriority w:val="34"/>
    <w:qFormat/>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Style1">
    <w:name w:val="Style1"/>
    <w:basedOn w:val="PlainText"/>
    <w:qFormat/>
    <w:rPr>
      <w:rFonts w:ascii="Cambria" w:eastAsia="Times New Roman" w:hAnsi="Cambria" w:cs="Arial"/>
      <w:b/>
      <w:bCs/>
      <w:color w:val="E36C0A" w:themeColor="accent6" w:themeShade="BF"/>
      <w:sz w:val="36"/>
      <w:szCs w:val="36"/>
      <w:lang w:val="en-GB" w:eastAsia="zh-CN"/>
    </w:rPr>
  </w:style>
  <w:style w:type="paragraph" w:customStyle="1" w:styleId="Style2">
    <w:name w:val="Style2"/>
    <w:basedOn w:val="Normal"/>
    <w:qFormat/>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Pr>
      <w:sz w:val="20"/>
      <w:szCs w:val="20"/>
    </w:r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ListParagraphChar">
    <w:name w:val="List Paragraph Char"/>
    <w:link w:val="ListParagraph"/>
    <w:uiPriority w:val="34"/>
    <w:qFormat/>
    <w:rPr>
      <w:rFonts w:ascii="Cambria" w:eastAsia="Times New Roman" w:hAnsi="Cambria"/>
      <w:sz w:val="24"/>
      <w:szCs w:val="22"/>
    </w:rPr>
  </w:style>
  <w:style w:type="character" w:customStyle="1" w:styleId="cf01">
    <w:name w:val="cf01"/>
    <w:basedOn w:val="DefaultParagraphFont"/>
    <w:rPr>
      <w:rFonts w:ascii="Segoe UI" w:hAnsi="Segoe UI" w:cs="Segoe UI" w:hint="default"/>
      <w:b/>
      <w:bCs/>
      <w:sz w:val="18"/>
      <w:szCs w:val="18"/>
    </w:rPr>
  </w:style>
  <w:style w:type="paragraph" w:customStyle="1" w:styleId="Revision1">
    <w:name w:val="Revision1"/>
    <w:hidden/>
    <w:uiPriority w:val="99"/>
    <w:semiHidden/>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5" Type="http://schemas.openxmlformats.org/officeDocument/2006/relationships/webSettings" Target="webSettings.xml"/><Relationship Id="rId15" Type="http://schemas.openxmlformats.org/officeDocument/2006/relationships/hyperlink" Target="https://docs.google.com/document/d/1flWo_Oq99ld87LdKG2irYsipQ70j6hUg/edit?usp=drive_link&amp;ouid=109865257765764587184&amp;rtpof=true&amp;sd=true" TargetMode="External"/><Relationship Id="rId10" Type="http://schemas.openxmlformats.org/officeDocument/2006/relationships/hyperlink" Target="https://www.fao.org/flexible-multipartner-mechanism/news/news-detail/en/c/1378190/"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E7129D-65C0-4000-9601-ACDDB3B25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2494</Words>
  <Characters>14218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16679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FAO FSN Forum</dc:creator>
  <cp:lastModifiedBy>HP</cp:lastModifiedBy>
  <cp:revision>2</cp:revision>
  <cp:lastPrinted>2024-09-27T10:14:00Z</cp:lastPrinted>
  <dcterms:created xsi:type="dcterms:W3CDTF">2024-11-24T10:41:00Z</dcterms:created>
  <dcterms:modified xsi:type="dcterms:W3CDTF">2024-11-24T10:41:00Z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1033-12.2.0.18638</vt:lpwstr>
  </property>
  <property fmtid="{D5CDD505-2E9C-101B-9397-08002B2CF9AE}" pid="3" name="ICV">
    <vt:lpwstr>731B5710E8094048AA0BCB6F90DFC2D6_12</vt:lpwstr>
  </property>
</Properties>
</file>